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FD0FD" w14:textId="77777777" w:rsidR="0006334C" w:rsidRDefault="0006334C" w:rsidP="0006334C">
      <w:bookmarkStart w:id="0" w:name="_Hlk108427386"/>
      <w:r>
        <w:rPr>
          <w:b/>
        </w:rPr>
        <w:t>Overview</w:t>
      </w:r>
    </w:p>
    <w:p w14:paraId="76975367" w14:textId="6CF5ED32" w:rsidR="00E00992" w:rsidRDefault="00E00992" w:rsidP="00E00992">
      <w:r>
        <w:t xml:space="preserve">The Department CAH medical record audit is part of the quality assurance program and the intent is to evaluate Contractor’s current practices and identify areas to improve quality of service delivery and documentation. Presumptive Eligibility, Informing, and </w:t>
      </w:r>
      <w:r w:rsidR="00D95CDC">
        <w:t>C</w:t>
      </w:r>
      <w:r>
        <w:t xml:space="preserve">are </w:t>
      </w:r>
      <w:r w:rsidR="00D95CDC">
        <w:t>C</w:t>
      </w:r>
      <w:r>
        <w:t>oordination are not included in these medical record audit guidelines as they are reviewed during the service note review process (see Policy 501 Service Note Review).</w:t>
      </w:r>
    </w:p>
    <w:p w14:paraId="4869783F" w14:textId="77777777" w:rsidR="0006334C" w:rsidRDefault="0006334C" w:rsidP="0006334C">
      <w:pPr>
        <w:rPr>
          <w:b/>
        </w:rPr>
      </w:pPr>
      <w:r>
        <w:rPr>
          <w:b/>
        </w:rPr>
        <w:t>Policy</w:t>
      </w:r>
    </w:p>
    <w:p w14:paraId="0727738B" w14:textId="77777777" w:rsidR="00E00992" w:rsidRDefault="00E00992" w:rsidP="00E00992">
      <w:pPr>
        <w:numPr>
          <w:ilvl w:val="0"/>
          <w:numId w:val="12"/>
        </w:numPr>
        <w:spacing w:after="0" w:line="276" w:lineRule="auto"/>
      </w:pPr>
      <w:r>
        <w:t xml:space="preserve">Medical record audits are required of all Contractors providing gap-filling direct health care and oral health services. Medical record audits apply to all gap-filling direct care services provided through the CAH program regardless of payer source. CAH gap-filling direct care services include the following services as defined in the </w:t>
      </w:r>
      <w:hyperlink r:id="rId8" w:history="1">
        <w:r w:rsidRPr="008703FD">
          <w:rPr>
            <w:rStyle w:val="Hyperlink"/>
          </w:rPr>
          <w:t>Screening Cen</w:t>
        </w:r>
        <w:r w:rsidRPr="008703FD">
          <w:rPr>
            <w:rStyle w:val="Hyperlink"/>
          </w:rPr>
          <w:t>t</w:t>
        </w:r>
        <w:r w:rsidRPr="008703FD">
          <w:rPr>
            <w:rStyle w:val="Hyperlink"/>
          </w:rPr>
          <w:t>er Provider Manual</w:t>
        </w:r>
      </w:hyperlink>
      <w:r>
        <w:t xml:space="preserve">.  </w:t>
      </w:r>
    </w:p>
    <w:p w14:paraId="0F884D2D" w14:textId="77777777" w:rsidR="00E00992" w:rsidRDefault="00E00992" w:rsidP="00E00992">
      <w:pPr>
        <w:numPr>
          <w:ilvl w:val="0"/>
          <w:numId w:val="12"/>
        </w:numPr>
        <w:spacing w:after="0" w:line="276" w:lineRule="auto"/>
      </w:pPr>
      <w:r>
        <w:t xml:space="preserve">Virtual or in-person medical record audits may occur at the discretion of the state Title V program. </w:t>
      </w:r>
    </w:p>
    <w:p w14:paraId="7B057B3B" w14:textId="77777777" w:rsidR="00E00992" w:rsidRDefault="00E00992" w:rsidP="00E00992">
      <w:pPr>
        <w:numPr>
          <w:ilvl w:val="0"/>
          <w:numId w:val="12"/>
        </w:numPr>
        <w:spacing w:after="0" w:line="276" w:lineRule="auto"/>
      </w:pPr>
      <w:r>
        <w:t xml:space="preserve">All gap-filling direct health care services provided for clients under the CAH program must be entered into the MCAH data system. Documentation of the clinical detail for gap-filling direct health care services must also be maintained in a client medical record (paper or electronic). Both of these forms of documentation will be reviewed during the audit. </w:t>
      </w:r>
    </w:p>
    <w:p w14:paraId="1C557601" w14:textId="77777777" w:rsidR="00E00992" w:rsidRPr="002D5CC1" w:rsidRDefault="00E00992" w:rsidP="00E00992">
      <w:pPr>
        <w:numPr>
          <w:ilvl w:val="0"/>
          <w:numId w:val="12"/>
        </w:numPr>
        <w:spacing w:after="0" w:line="276" w:lineRule="auto"/>
        <w:rPr>
          <w:b/>
        </w:rPr>
      </w:pPr>
      <w:r>
        <w:t>Documentation of services must comply with generally accepted principles for maintaining health care records and with Medicaid requirements established by the Iowa DHS in</w:t>
      </w:r>
      <w:hyperlink r:id="rId9">
        <w:r>
          <w:t xml:space="preserve"> </w:t>
        </w:r>
      </w:hyperlink>
      <w:hyperlink r:id="rId10">
        <w:r w:rsidRPr="002D5CC1">
          <w:rPr>
            <w:color w:val="1155CC"/>
            <w:u w:val="single"/>
          </w:rPr>
          <w:t>IAC 441 Chapter 79.3</w:t>
        </w:r>
      </w:hyperlink>
      <w:r>
        <w:t>.</w:t>
      </w:r>
    </w:p>
    <w:p w14:paraId="1585306A" w14:textId="77777777" w:rsidR="00771810" w:rsidRDefault="00771810" w:rsidP="00E00992">
      <w:pPr>
        <w:rPr>
          <w:b/>
        </w:rPr>
      </w:pPr>
    </w:p>
    <w:p w14:paraId="7C8698B8" w14:textId="02691CDE" w:rsidR="00E00992" w:rsidRDefault="0006334C" w:rsidP="00E00992">
      <w:pPr>
        <w:rPr>
          <w:b/>
        </w:rPr>
      </w:pPr>
      <w:r>
        <w:rPr>
          <w:b/>
        </w:rPr>
        <w:t>Procedure</w:t>
      </w:r>
    </w:p>
    <w:p w14:paraId="4BC23C44" w14:textId="19982315" w:rsidR="00E00992" w:rsidRPr="00E00992" w:rsidRDefault="00E00992" w:rsidP="00E00992">
      <w:pPr>
        <w:rPr>
          <w:b/>
        </w:rPr>
      </w:pPr>
      <w:r>
        <w:rPr>
          <w:b/>
        </w:rPr>
        <w:t>Internal Medical Record Audit:</w:t>
      </w:r>
      <w:r>
        <w:t xml:space="preserve"> At least one Contractor-conducted (internal) medical record audit must be completed every other year. Following the internal medical record audit, the Contractor is required to submit completed review tools and a MCAH Medical Record Audit Summary form, complete with plans for quality improvement based upon the audit findings.</w:t>
      </w:r>
    </w:p>
    <w:p w14:paraId="03846747" w14:textId="77777777" w:rsidR="00E00992" w:rsidRDefault="00E00992" w:rsidP="00E00992">
      <w:r>
        <w:t>The Contractor’s internal medical record audit team will be a multidisciplinary team representative of the disciplines providing CAH services (e.g., nurse, social worker, dental hygienist). Contractors shall include subcontractors in the audit process.</w:t>
      </w:r>
    </w:p>
    <w:p w14:paraId="43033F31" w14:textId="77777777" w:rsidR="00E00992" w:rsidRDefault="00E00992" w:rsidP="00E00992">
      <w:r>
        <w:rPr>
          <w:b/>
        </w:rPr>
        <w:t xml:space="preserve">Joint </w:t>
      </w:r>
      <w:r w:rsidRPr="00A1394C">
        <w:rPr>
          <w:b/>
        </w:rPr>
        <w:t>medical record</w:t>
      </w:r>
      <w:r>
        <w:rPr>
          <w:b/>
        </w:rPr>
        <w:t xml:space="preserve"> Audit</w:t>
      </w:r>
      <w:r>
        <w:t>: Opposite years from the internal medical record audit, the Contractor is required to have an audit conducted by a joint review team composed of Contractor and subcontractor staff and staff from the Bureaus of Family Health (BFH) and Oral and Health Delivery Systems (OHDS). The audit team, including BFH and OHDS staff, must be large enough so that each team member reviews one to five medical records.</w:t>
      </w:r>
    </w:p>
    <w:p w14:paraId="72A30256" w14:textId="77777777" w:rsidR="00E00992" w:rsidRDefault="00E00992" w:rsidP="00E00992">
      <w:pPr>
        <w:rPr>
          <w:b/>
        </w:rPr>
      </w:pPr>
      <w:r>
        <w:rPr>
          <w:b/>
        </w:rPr>
        <w:lastRenderedPageBreak/>
        <w:t>Medical Record Audit Process:</w:t>
      </w:r>
    </w:p>
    <w:p w14:paraId="729D96D9" w14:textId="77777777" w:rsidR="00E00992" w:rsidRDefault="00E00992" w:rsidP="00E00992">
      <w:pPr>
        <w:numPr>
          <w:ilvl w:val="0"/>
          <w:numId w:val="13"/>
        </w:numPr>
        <w:spacing w:after="0" w:line="276" w:lineRule="auto"/>
      </w:pPr>
      <w:bookmarkStart w:id="1" w:name="_GoBack"/>
      <w:r>
        <w:t xml:space="preserve">A minimum of one week prior to the audit (internal or joint) the Department will provide the Contractor a list of ID numbers randomly selected from the MCAH data system using the selection criteria found in the </w:t>
      </w:r>
      <w:r>
        <w:rPr>
          <w:i/>
        </w:rPr>
        <w:t xml:space="preserve">Medical Record Selection Requirements </w:t>
      </w:r>
      <w:r>
        <w:t xml:space="preserve">section found below. </w:t>
      </w:r>
      <w:bookmarkEnd w:id="1"/>
    </w:p>
    <w:p w14:paraId="22B0FB8B" w14:textId="77777777" w:rsidR="00E00992" w:rsidRDefault="00E00992" w:rsidP="00E00992">
      <w:pPr>
        <w:numPr>
          <w:ilvl w:val="0"/>
          <w:numId w:val="13"/>
        </w:numPr>
        <w:spacing w:after="0" w:line="276" w:lineRule="auto"/>
      </w:pPr>
      <w:r>
        <w:t xml:space="preserve">The Contractor shall carefully review the list of ID numbers provided from the MCAH data system to ensure that the selected medical records meet the required selection criteria. Due to the complex nature of selecting IDs that meet all criteria, Contractors may not need to review all the medical records included in the list of selected medical records </w:t>
      </w:r>
      <w:r>
        <w:rPr>
          <w:b/>
        </w:rPr>
        <w:t>IF</w:t>
      </w:r>
      <w:r>
        <w:t xml:space="preserve"> they have otherwise met the selection criteria outlined below. Some IDs may need to be swapped out for a different ID due to a nuance or error. Contractors wanting to alter the list, review fewer records or review alternate records shall notify and get approval from the consultant. </w:t>
      </w:r>
    </w:p>
    <w:p w14:paraId="7AAECEF2" w14:textId="77777777" w:rsidR="00E00992" w:rsidRDefault="00E00992" w:rsidP="00E00992">
      <w:pPr>
        <w:numPr>
          <w:ilvl w:val="0"/>
          <w:numId w:val="13"/>
        </w:numPr>
        <w:spacing w:after="0" w:line="276" w:lineRule="auto"/>
      </w:pPr>
      <w:r>
        <w:t xml:space="preserve">Department and contractor staff shall review the medical records using the most updated medical record audit tools prior to the scheduled virtual audit meeting. Each year’s medical records audit tools can be found on the </w:t>
      </w:r>
      <w:hyperlink r:id="rId11" w:history="1">
        <w:r w:rsidRPr="008703FD">
          <w:rPr>
            <w:rStyle w:val="Hyperlink"/>
          </w:rPr>
          <w:t>Maternal and Ch</w:t>
        </w:r>
        <w:r w:rsidRPr="008703FD">
          <w:rPr>
            <w:rStyle w:val="Hyperlink"/>
          </w:rPr>
          <w:t>i</w:t>
        </w:r>
        <w:r w:rsidRPr="008703FD">
          <w:rPr>
            <w:rStyle w:val="Hyperlink"/>
          </w:rPr>
          <w:t>ld Health Portal</w:t>
        </w:r>
      </w:hyperlink>
      <w:r>
        <w:t xml:space="preserve">. </w:t>
      </w:r>
    </w:p>
    <w:p w14:paraId="1F4616BF" w14:textId="77777777" w:rsidR="00E00992" w:rsidRDefault="00E00992" w:rsidP="00E00992">
      <w:pPr>
        <w:numPr>
          <w:ilvl w:val="0"/>
          <w:numId w:val="13"/>
        </w:numPr>
        <w:spacing w:after="0" w:line="276" w:lineRule="auto"/>
      </w:pPr>
      <w:r>
        <w:rPr>
          <w:color w:val="222222"/>
        </w:rPr>
        <w:t xml:space="preserve">The Department will select the ID numbers of the records for Department staff to review. </w:t>
      </w:r>
      <w:r>
        <w:t xml:space="preserve">Most contractors utilize some form of medical record outside of the MCAH data system, whether electronic or paper. In order for the Department staff to properly audit the selected medical records, the Contractor shall send the medical records to the Department for each team member to review. The Contractor only needs to send non-MCAH data system records to complete the audit for each medical record as the consultants will have access directly to the MCAH data system for review.  </w:t>
      </w:r>
    </w:p>
    <w:p w14:paraId="5EE3688A" w14:textId="77777777" w:rsidR="00E00992" w:rsidRDefault="00E00992" w:rsidP="00E00992">
      <w:pPr>
        <w:numPr>
          <w:ilvl w:val="1"/>
          <w:numId w:val="13"/>
        </w:numPr>
        <w:spacing w:after="0" w:line="276" w:lineRule="auto"/>
      </w:pPr>
      <w:r>
        <w:t xml:space="preserve">Medical records must be sent to the Department at least 5 business days in advance of the scheduled audit via fax, secure email, or via google folder. Ensure the medical records include the MCAH data system ID, any paper documentation, and all electronic medical records related to CAH services provided within the past 12 months.  </w:t>
      </w:r>
    </w:p>
    <w:p w14:paraId="552E5717" w14:textId="77777777" w:rsidR="00E00992" w:rsidRDefault="00E00992" w:rsidP="00E00992">
      <w:pPr>
        <w:numPr>
          <w:ilvl w:val="1"/>
          <w:numId w:val="13"/>
        </w:numPr>
        <w:spacing w:after="0" w:line="276" w:lineRule="auto"/>
      </w:pPr>
      <w:r>
        <w:t>If mailing medical records, you must send at least two weeks prior to the audit, to the Lucas building. Follow your agency’s protocol for mailing documents with protected health information.</w:t>
      </w:r>
    </w:p>
    <w:p w14:paraId="6DCFE8D7" w14:textId="77777777" w:rsidR="00E00992" w:rsidRDefault="00E00992" w:rsidP="00E00992">
      <w:pPr>
        <w:numPr>
          <w:ilvl w:val="0"/>
          <w:numId w:val="13"/>
        </w:numPr>
        <w:spacing w:after="0" w:line="276" w:lineRule="auto"/>
      </w:pPr>
      <w:r>
        <w:t>Contractors will ensure that their staff auditing medical records have access to the MCAH data system. If staff do not have access, time should be scheduled for reviewers to work with staff who do have access.</w:t>
      </w:r>
    </w:p>
    <w:p w14:paraId="5C2477FD" w14:textId="77777777" w:rsidR="00E00992" w:rsidRDefault="00E00992" w:rsidP="00E00992">
      <w:pPr>
        <w:numPr>
          <w:ilvl w:val="0"/>
          <w:numId w:val="13"/>
        </w:numPr>
        <w:spacing w:after="0" w:line="276" w:lineRule="auto"/>
      </w:pPr>
      <w:r>
        <w:t xml:space="preserve">The CAH Project Director should set aside time with their staff ahead of time to review the required tools and expectations of medical record audits. CAH Project Directors will assign medical records to reviewers. </w:t>
      </w:r>
    </w:p>
    <w:p w14:paraId="7E1C16B9" w14:textId="77777777" w:rsidR="00E00992" w:rsidRDefault="00E00992" w:rsidP="00E00992">
      <w:pPr>
        <w:numPr>
          <w:ilvl w:val="0"/>
          <w:numId w:val="13"/>
        </w:numPr>
        <w:spacing w:after="0" w:line="276" w:lineRule="auto"/>
      </w:pPr>
      <w:r>
        <w:lastRenderedPageBreak/>
        <w:t xml:space="preserve">Contractors and Department staff review assigned medical records independently prior to the scheduled debrief. Contractors may choose to meet prior to the debriefing session to discuss any questions or jointly review medical records. </w:t>
      </w:r>
    </w:p>
    <w:p w14:paraId="16A0B40A" w14:textId="77777777" w:rsidR="00E00992" w:rsidRDefault="00E00992" w:rsidP="00E00992">
      <w:pPr>
        <w:numPr>
          <w:ilvl w:val="0"/>
          <w:numId w:val="13"/>
        </w:numPr>
        <w:spacing w:after="0" w:line="276" w:lineRule="auto"/>
      </w:pPr>
      <w:r>
        <w:t xml:space="preserve">Debriefing session will consist of a round-table style share of medical record audit findings for strengths and areas for improvement and completion of the Medical Record Audit Summary </w:t>
      </w:r>
    </w:p>
    <w:p w14:paraId="2E27AECA" w14:textId="77777777" w:rsidR="00E00992" w:rsidRDefault="00E00992" w:rsidP="00E00992"/>
    <w:p w14:paraId="436935FA" w14:textId="77777777" w:rsidR="00E00992" w:rsidRDefault="00E00992" w:rsidP="00E00992">
      <w:r>
        <w:rPr>
          <w:b/>
        </w:rPr>
        <w:t xml:space="preserve">Medical Record Audit Summary: </w:t>
      </w:r>
      <w:r>
        <w:t>Complete one CAH Medical Record Audit Summary for the entire medical record audit process. Areas to be addressed include:</w:t>
      </w:r>
    </w:p>
    <w:p w14:paraId="3648934F" w14:textId="77777777" w:rsidR="00E00992" w:rsidRDefault="00E00992" w:rsidP="00E00992">
      <w:pPr>
        <w:numPr>
          <w:ilvl w:val="0"/>
          <w:numId w:val="15"/>
        </w:numPr>
        <w:spacing w:after="0" w:line="276" w:lineRule="auto"/>
      </w:pPr>
      <w:r>
        <w:rPr>
          <w:b/>
        </w:rPr>
        <w:t>Strengths</w:t>
      </w:r>
      <w:r>
        <w:t>: Summarize strengths identified through the medical record audit process. These may pertain to program implementation and/or documentation.</w:t>
      </w:r>
    </w:p>
    <w:p w14:paraId="19480F39" w14:textId="77777777" w:rsidR="00E00992" w:rsidRDefault="00E00992" w:rsidP="00E00992">
      <w:pPr>
        <w:numPr>
          <w:ilvl w:val="0"/>
          <w:numId w:val="15"/>
        </w:numPr>
        <w:spacing w:after="0" w:line="276" w:lineRule="auto"/>
      </w:pPr>
      <w:r>
        <w:rPr>
          <w:b/>
        </w:rPr>
        <w:t>Telehealth Technology:</w:t>
      </w:r>
      <w:r>
        <w:t xml:space="preserve"> In review of the documentation is the technology used for telehealth HIPAA compliant? (If more than one platform is in use are they all HIPAA compliant?) A portion of this element (investigation) was waived by the federal government during the pandemic emergency, but if planning to do telehealth in future, will need to consider method of use.</w:t>
      </w:r>
    </w:p>
    <w:p w14:paraId="7C7CC928" w14:textId="77777777" w:rsidR="00E00992" w:rsidRDefault="00E00992" w:rsidP="00E00992">
      <w:pPr>
        <w:numPr>
          <w:ilvl w:val="0"/>
          <w:numId w:val="15"/>
        </w:numPr>
        <w:spacing w:after="0" w:line="276" w:lineRule="auto"/>
      </w:pPr>
      <w:r>
        <w:rPr>
          <w:b/>
        </w:rPr>
        <w:t>Recommendations for Improvement:</w:t>
      </w:r>
      <w:r>
        <w:t xml:space="preserve"> Identify recommendations for improving program implementation and/or documentation.</w:t>
      </w:r>
    </w:p>
    <w:p w14:paraId="5A3E005C" w14:textId="77777777" w:rsidR="00E00992" w:rsidRDefault="00E00992" w:rsidP="00E00992">
      <w:pPr>
        <w:numPr>
          <w:ilvl w:val="0"/>
          <w:numId w:val="15"/>
        </w:numPr>
        <w:spacing w:after="0" w:line="276" w:lineRule="auto"/>
      </w:pPr>
      <w:r>
        <w:rPr>
          <w:b/>
        </w:rPr>
        <w:t>Plans for Quality Improvement:</w:t>
      </w:r>
      <w:r>
        <w:t xml:space="preserve"> Identify actions to be initiated in response to findings of this review. Include how results will be shared with staff to improve practice and enhance program development. Specify the person responsible, the projected date of completion for each activity, and how quality improvement will be measured. Provide adequate narrative to fully describe the assessment and plan for quality improvement. </w:t>
      </w:r>
    </w:p>
    <w:p w14:paraId="17A0BAF1" w14:textId="77777777" w:rsidR="00E00992" w:rsidRDefault="00E00992" w:rsidP="00E00992">
      <w:pPr>
        <w:rPr>
          <w:b/>
        </w:rPr>
      </w:pPr>
    </w:p>
    <w:p w14:paraId="0C306A26" w14:textId="77777777" w:rsidR="00E00992" w:rsidRDefault="00E00992" w:rsidP="00E00992">
      <w:r>
        <w:rPr>
          <w:b/>
        </w:rPr>
        <w:t xml:space="preserve">Audit Due Date and Submission: </w:t>
      </w:r>
      <w:r>
        <w:t xml:space="preserve">Internal and joint medical record audit results are due to the Department on the date listed in the contract. A copy of the completed CAH medical record audit tools (including quality improvement plans based upon audit findings) and the Medical Record Audit Summary are to be sent via secure mail, fax, or regular mail to the consultant. When sending records for Department review as part of the joint audit or with findings in the internal audit, secure methods (encrypted email, etc.) must be used to protect patient confidentiality. </w:t>
      </w:r>
    </w:p>
    <w:p w14:paraId="1248C3FC" w14:textId="77777777" w:rsidR="00E00992" w:rsidRDefault="00E00992" w:rsidP="00E00992">
      <w:r>
        <w:rPr>
          <w:b/>
        </w:rPr>
        <w:t xml:space="preserve">Documentation at IDPH: </w:t>
      </w:r>
      <w:r>
        <w:t xml:space="preserve">Once the review tools and summary tool </w:t>
      </w:r>
      <w:proofErr w:type="gramStart"/>
      <w:r>
        <w:t>is</w:t>
      </w:r>
      <w:proofErr w:type="gramEnd"/>
      <w:r>
        <w:t xml:space="preserve"> complete for the contractor, the consultant will upload the summary tool to IowaGrants.gov.</w:t>
      </w:r>
    </w:p>
    <w:p w14:paraId="0DBCE478" w14:textId="77777777" w:rsidR="00E00992" w:rsidRDefault="00E00992" w:rsidP="00E00992">
      <w:pPr>
        <w:rPr>
          <w:color w:val="222222"/>
        </w:rPr>
      </w:pPr>
      <w:r>
        <w:rPr>
          <w:b/>
        </w:rPr>
        <w:t xml:space="preserve">Medical Record Selection Requirements: </w:t>
      </w:r>
      <w:r>
        <w:rPr>
          <w:color w:val="222222"/>
        </w:rPr>
        <w:t xml:space="preserve">The following is the required record selection criteria: </w:t>
      </w:r>
    </w:p>
    <w:p w14:paraId="22959A99" w14:textId="77777777" w:rsidR="00E00992" w:rsidRDefault="00E00992" w:rsidP="00E00992">
      <w:pPr>
        <w:numPr>
          <w:ilvl w:val="0"/>
          <w:numId w:val="14"/>
        </w:numPr>
        <w:spacing w:after="0" w:line="276" w:lineRule="auto"/>
      </w:pPr>
      <w:r>
        <w:t xml:space="preserve">A minimum of ten CAH medical records for gap-filling direct care services delivered in the 12 months prior to the audit. CAH records may be open or closed at the time of the audit, but the </w:t>
      </w:r>
      <w:r>
        <w:lastRenderedPageBreak/>
        <w:t>services being reviewed should be complete (e.g., lead tests should have results back and follow up with the family and primary care provider documented.).</w:t>
      </w:r>
    </w:p>
    <w:p w14:paraId="6058B29A" w14:textId="77777777" w:rsidR="00E00992" w:rsidRDefault="00E00992" w:rsidP="00E00992">
      <w:pPr>
        <w:numPr>
          <w:ilvl w:val="0"/>
          <w:numId w:val="14"/>
        </w:numPr>
        <w:spacing w:after="0" w:line="276" w:lineRule="auto"/>
      </w:pPr>
      <w:r>
        <w:t xml:space="preserve">Oral health services must be included in the medical record audit. </w:t>
      </w:r>
    </w:p>
    <w:p w14:paraId="45C8A1AD" w14:textId="77777777" w:rsidR="00E00992" w:rsidRDefault="00E00992" w:rsidP="00E00992">
      <w:pPr>
        <w:numPr>
          <w:ilvl w:val="0"/>
          <w:numId w:val="14"/>
        </w:numPr>
        <w:spacing w:after="0" w:line="276" w:lineRule="auto"/>
      </w:pPr>
      <w:r>
        <w:t>At least one record of each type of gap-filling direct care service provided in the previous 12 months must be reviewed.</w:t>
      </w:r>
    </w:p>
    <w:p w14:paraId="3CEF3A9F" w14:textId="77777777" w:rsidR="00E00992" w:rsidRDefault="00E00992" w:rsidP="00E00992">
      <w:pPr>
        <w:numPr>
          <w:ilvl w:val="0"/>
          <w:numId w:val="14"/>
        </w:numPr>
        <w:spacing w:after="0" w:line="276" w:lineRule="auto"/>
      </w:pPr>
      <w:r>
        <w:t>At least one record from each subcontractor must be reviewed.</w:t>
      </w:r>
    </w:p>
    <w:p w14:paraId="40A8B842" w14:textId="77777777" w:rsidR="00E00992" w:rsidRDefault="00E00992" w:rsidP="00E00992">
      <w:pPr>
        <w:numPr>
          <w:ilvl w:val="0"/>
          <w:numId w:val="14"/>
        </w:numPr>
        <w:spacing w:after="0" w:line="276" w:lineRule="auto"/>
      </w:pPr>
      <w:r>
        <w:t xml:space="preserve">At least one record from each service site type must be reviewed (e.g., home visits, WIC, school, OB clinic, agency clinic, etc.). </w:t>
      </w:r>
    </w:p>
    <w:p w14:paraId="23B1954B" w14:textId="77777777" w:rsidR="00E00992" w:rsidRDefault="00E00992" w:rsidP="00E00992">
      <w:pPr>
        <w:numPr>
          <w:ilvl w:val="0"/>
          <w:numId w:val="14"/>
        </w:numPr>
        <w:spacing w:after="0" w:line="276" w:lineRule="auto"/>
      </w:pPr>
      <w:r>
        <w:t xml:space="preserve">If the Contractor has 20 or less service providers (in the service area, including subcontractors and other agreements), at least one record from each service provider must be reviewed. </w:t>
      </w:r>
    </w:p>
    <w:p w14:paraId="6EB92580" w14:textId="77777777" w:rsidR="00E00992" w:rsidRDefault="00E00992" w:rsidP="00E00992">
      <w:pPr>
        <w:numPr>
          <w:ilvl w:val="0"/>
          <w:numId w:val="14"/>
        </w:numPr>
        <w:spacing w:after="0" w:line="276" w:lineRule="auto"/>
      </w:pPr>
      <w:r>
        <w:t xml:space="preserve">If the Contractor has more than 20 service providers (in the service area, including subcontractors and other agreements) a minimum of 20 different service providers must be reviewed. </w:t>
      </w:r>
    </w:p>
    <w:p w14:paraId="75DD3F69" w14:textId="77777777" w:rsidR="00E00992" w:rsidRDefault="00E00992" w:rsidP="00E00992">
      <w:r>
        <w:t xml:space="preserve">Contractors that subcontract or have another form of agreement with another Title V Contractor to provide services in their service area, shall work with the subcontract Title V Contractor and Department consultant in advance of the medical record audit to decide if the records will be reviewed as part of the Contractor’s medical record audit or part of the subcontractor’s medical record audit. </w:t>
      </w:r>
    </w:p>
    <w:p w14:paraId="53D7CE6A" w14:textId="75ADDB80" w:rsidR="0006334C" w:rsidRDefault="0006334C" w:rsidP="0006334C">
      <w:pPr>
        <w:pStyle w:val="ListParagraph"/>
        <w:numPr>
          <w:ilvl w:val="0"/>
          <w:numId w:val="10"/>
        </w:numPr>
        <w:rPr>
          <w:b/>
        </w:rPr>
      </w:pPr>
      <w:r w:rsidRPr="00B9743C">
        <w:rPr>
          <w:b/>
        </w:rPr>
        <w:t>Resources</w:t>
      </w:r>
    </w:p>
    <w:p w14:paraId="5F5B70E7" w14:textId="77777777" w:rsidR="00E00992" w:rsidRDefault="004E212C" w:rsidP="00E00992">
      <w:pPr>
        <w:pStyle w:val="ListParagraph"/>
        <w:numPr>
          <w:ilvl w:val="0"/>
          <w:numId w:val="10"/>
        </w:numPr>
        <w:spacing w:after="0" w:line="276" w:lineRule="auto"/>
      </w:pPr>
      <w:hyperlink r:id="rId12" w:history="1">
        <w:r w:rsidR="00E00992" w:rsidRPr="008703FD">
          <w:rPr>
            <w:rStyle w:val="Hyperlink"/>
          </w:rPr>
          <w:t>Screening Center Provider Manual</w:t>
        </w:r>
      </w:hyperlink>
      <w:r w:rsidR="00E00992">
        <w:t xml:space="preserve"> </w:t>
      </w:r>
    </w:p>
    <w:p w14:paraId="5F78F29F" w14:textId="04281919" w:rsidR="00E00992" w:rsidRPr="00E00992" w:rsidRDefault="004E212C" w:rsidP="008E38D5">
      <w:pPr>
        <w:pStyle w:val="ListParagraph"/>
        <w:numPr>
          <w:ilvl w:val="0"/>
          <w:numId w:val="10"/>
        </w:numPr>
        <w:spacing w:after="0" w:line="276" w:lineRule="auto"/>
      </w:pPr>
      <w:hyperlink r:id="rId13">
        <w:r w:rsidR="00E00992">
          <w:rPr>
            <w:rStyle w:val="Hyperlink"/>
          </w:rPr>
          <w:t>IDPH General Conditions for Service Contracts</w:t>
        </w:r>
      </w:hyperlink>
    </w:p>
    <w:p w14:paraId="7E6B1266" w14:textId="21AD4DBF" w:rsidR="008F1C1C" w:rsidRDefault="00E00992" w:rsidP="00E00992">
      <w:pPr>
        <w:pStyle w:val="ListParagraph"/>
        <w:numPr>
          <w:ilvl w:val="0"/>
          <w:numId w:val="10"/>
        </w:numPr>
        <w:rPr>
          <w:b/>
        </w:rPr>
      </w:pPr>
      <w:r>
        <w:rPr>
          <w:b/>
        </w:rPr>
        <w:t>S</w:t>
      </w:r>
      <w:r w:rsidRPr="00B9743C">
        <w:rPr>
          <w:b/>
        </w:rPr>
        <w:t>ources</w:t>
      </w:r>
    </w:p>
    <w:p w14:paraId="108C6C16" w14:textId="59B0C9A9" w:rsidR="00E00992" w:rsidRPr="00E00992" w:rsidRDefault="00E00992" w:rsidP="00E00992">
      <w:pPr>
        <w:pStyle w:val="ListParagraph"/>
        <w:numPr>
          <w:ilvl w:val="0"/>
          <w:numId w:val="10"/>
        </w:numPr>
        <w:rPr>
          <w:b/>
        </w:rPr>
      </w:pPr>
      <w:r>
        <w:t xml:space="preserve">IDPH/DHS </w:t>
      </w:r>
      <w:r w:rsidRPr="008703FD">
        <w:t>Omnibus Agreement</w:t>
      </w:r>
    </w:p>
    <w:bookmarkEnd w:id="0"/>
    <w:p w14:paraId="6A44FE06" w14:textId="13E7A70A" w:rsidR="00124889" w:rsidRPr="00127DEA" w:rsidRDefault="00124889" w:rsidP="00E00992"/>
    <w:sectPr w:rsidR="00124889" w:rsidRPr="00127DEA" w:rsidSect="00B9743C">
      <w:headerReference w:type="default" r:id="rId14"/>
      <w:footerReference w:type="default" r:id="rId15"/>
      <w:headerReference w:type="first" r:id="rId16"/>
      <w:footerReference w:type="first" r:id="rId17"/>
      <w:pgSz w:w="12240" w:h="15840" w:code="1"/>
      <w:pgMar w:top="3168" w:right="1440" w:bottom="1440" w:left="1440" w:header="0" w:footer="288"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C881B" w14:textId="77777777" w:rsidR="004E212C" w:rsidRDefault="004E212C" w:rsidP="005D22B0">
      <w:pPr>
        <w:spacing w:after="0" w:line="240" w:lineRule="auto"/>
      </w:pPr>
      <w:r>
        <w:separator/>
      </w:r>
    </w:p>
  </w:endnote>
  <w:endnote w:type="continuationSeparator" w:id="0">
    <w:p w14:paraId="4ED0D997" w14:textId="77777777" w:rsidR="004E212C" w:rsidRDefault="004E212C"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8711421"/>
      <w:docPartObj>
        <w:docPartGallery w:val="Page Numbers (Bottom of Page)"/>
        <w:docPartUnique/>
      </w:docPartObj>
    </w:sdtPr>
    <w:sdtEndPr>
      <w:rPr>
        <w:noProof/>
        <w:color w:val="7F7F7F" w:themeColor="text1" w:themeTint="80"/>
      </w:rPr>
    </w:sdtEndPr>
    <w:sdtContent>
      <w:p w14:paraId="60826C00" w14:textId="02F261AA" w:rsidR="00124889" w:rsidRPr="00124889" w:rsidRDefault="00124889">
        <w:pPr>
          <w:pStyle w:val="Footer"/>
          <w:jc w:val="center"/>
          <w:rPr>
            <w:color w:val="7F7F7F" w:themeColor="text1" w:themeTint="80"/>
          </w:rPr>
        </w:pPr>
        <w:r w:rsidRPr="00124889">
          <w:rPr>
            <w:color w:val="7F7F7F" w:themeColor="text1" w:themeTint="80"/>
          </w:rPr>
          <w:fldChar w:fldCharType="begin"/>
        </w:r>
        <w:r w:rsidRPr="00124889">
          <w:rPr>
            <w:color w:val="7F7F7F" w:themeColor="text1" w:themeTint="80"/>
          </w:rPr>
          <w:instrText xml:space="preserve"> PAGE   \* MERGEFORMAT </w:instrText>
        </w:r>
        <w:r w:rsidRPr="00124889">
          <w:rPr>
            <w:color w:val="7F7F7F" w:themeColor="text1" w:themeTint="80"/>
          </w:rPr>
          <w:fldChar w:fldCharType="separate"/>
        </w:r>
        <w:r w:rsidRPr="00124889">
          <w:rPr>
            <w:noProof/>
            <w:color w:val="7F7F7F" w:themeColor="text1" w:themeTint="80"/>
          </w:rPr>
          <w:t>2</w:t>
        </w:r>
        <w:r w:rsidRPr="00124889">
          <w:rPr>
            <w:noProof/>
            <w:color w:val="7F7F7F" w:themeColor="text1" w:themeTint="80"/>
          </w:rPr>
          <w:fldChar w:fldCharType="end"/>
        </w:r>
      </w:p>
    </w:sdtContent>
  </w:sdt>
  <w:p w14:paraId="192FF97A" w14:textId="77777777" w:rsidR="00124889" w:rsidRDefault="00124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7A6F" w14:textId="653D1F47" w:rsidR="00124889" w:rsidRPr="00124889" w:rsidRDefault="00124889" w:rsidP="00124889">
    <w:pPr>
      <w:pStyle w:val="Footer"/>
      <w:rPr>
        <w:color w:val="7F7F7F" w:themeColor="text1" w:themeTint="80"/>
      </w:rPr>
    </w:pPr>
  </w:p>
  <w:p w14:paraId="7B2CBACD" w14:textId="77777777" w:rsidR="00124889" w:rsidRDefault="0012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95C52" w14:textId="77777777" w:rsidR="004E212C" w:rsidRDefault="004E212C" w:rsidP="005D22B0">
      <w:pPr>
        <w:spacing w:after="0" w:line="240" w:lineRule="auto"/>
      </w:pPr>
      <w:r>
        <w:separator/>
      </w:r>
    </w:p>
  </w:footnote>
  <w:footnote w:type="continuationSeparator" w:id="0">
    <w:p w14:paraId="47F35849" w14:textId="77777777" w:rsidR="004E212C" w:rsidRDefault="004E212C"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1B8FE" w14:textId="0DF85A7B" w:rsidR="00B9743C" w:rsidRDefault="00B9743C" w:rsidP="00B9743C">
    <w:pPr>
      <w:spacing w:after="0" w:line="240" w:lineRule="auto"/>
      <w:rPr>
        <w:b/>
      </w:rPr>
    </w:pPr>
  </w:p>
  <w:p w14:paraId="5BC2C243" w14:textId="1D0E003D" w:rsidR="00B9743C" w:rsidRDefault="00B9743C" w:rsidP="00B9743C">
    <w:pPr>
      <w:spacing w:after="0" w:line="240" w:lineRule="auto"/>
      <w:rPr>
        <w:b/>
      </w:rPr>
    </w:pPr>
  </w:p>
  <w:p w14:paraId="144A1C25" w14:textId="3D2BE978" w:rsidR="00B9743C" w:rsidRDefault="007F7A0F" w:rsidP="00B9743C">
    <w:pPr>
      <w:spacing w:after="0" w:line="240" w:lineRule="auto"/>
      <w:rPr>
        <w:b/>
      </w:rPr>
    </w:pPr>
    <w:r>
      <w:rPr>
        <w:rFonts w:ascii="Franklin Gothic Book" w:hAnsi="Franklin Gothic Book"/>
        <w:noProof/>
        <w:color w:val="002B49"/>
        <w:sz w:val="20"/>
        <w:szCs w:val="20"/>
      </w:rPr>
      <mc:AlternateContent>
        <mc:Choice Requires="wpg">
          <w:drawing>
            <wp:anchor distT="0" distB="0" distL="114300" distR="114300" simplePos="0" relativeHeight="251662336" behindDoc="0" locked="0" layoutInCell="1" allowOverlap="1" wp14:anchorId="21FD6746" wp14:editId="1F8E8F77">
              <wp:simplePos x="0" y="0"/>
              <wp:positionH relativeFrom="column">
                <wp:posOffset>-438150</wp:posOffset>
              </wp:positionH>
              <wp:positionV relativeFrom="margin">
                <wp:posOffset>-1836421</wp:posOffset>
              </wp:positionV>
              <wp:extent cx="57150" cy="5061585"/>
              <wp:effectExtent l="19050" t="0" r="0" b="24765"/>
              <wp:wrapNone/>
              <wp:docPr id="4" name="Group 4"/>
              <wp:cNvGraphicFramePr/>
              <a:graphic xmlns:a="http://schemas.openxmlformats.org/drawingml/2006/main">
                <a:graphicData uri="http://schemas.microsoft.com/office/word/2010/wordprocessingGroup">
                  <wpg:wgp>
                    <wpg:cNvGrpSpPr/>
                    <wpg:grpSpPr>
                      <a:xfrm>
                        <a:off x="0" y="0"/>
                        <a:ext cx="57150" cy="5061585"/>
                        <a:chOff x="0" y="0"/>
                        <a:chExt cx="0" cy="5326083"/>
                      </a:xfrm>
                    </wpg:grpSpPr>
                    <wps:wsp>
                      <wps:cNvPr id="5" name="Straight Connector 5"/>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E95B580" id="Group 4" o:spid="_x0000_s1026" style="position:absolute;margin-left:-34.5pt;margin-top:-144.6pt;width:4.5pt;height:398.55pt;z-index:251662336;mso-position-vertical-relative:margin;mso-width-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">
              <v:line id="Straight Connector 5"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" strokecolor="#1c365f" strokeweight="3pt">
                <v:stroke joinstyle="miter"/>
              </v:line>
              <v:line id="Straight Connector 10"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" strokecolor="#277e5f" strokeweight="3pt">
                <v:stroke joinstyle="miter"/>
              </v:line>
              <v:line id="Straight Connector 11"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" strokecolor="#c48d34" strokeweight="3pt">
                <v:stroke joinstyle="miter"/>
              </v:line>
              <w10:wrap anchory="margin"/>
            </v:group>
          </w:pict>
        </mc:Fallback>
      </mc:AlternateContent>
    </w:r>
  </w:p>
  <w:p w14:paraId="0C2F1920" w14:textId="3A6BE630" w:rsidR="00B9743C" w:rsidRDefault="00B9743C" w:rsidP="00B9743C">
    <w:pPr>
      <w:spacing w:after="0" w:line="240" w:lineRule="auto"/>
      <w:rPr>
        <w:b/>
      </w:rPr>
    </w:pPr>
    <w:r>
      <w:rPr>
        <w:b/>
        <w:noProof/>
      </w:rPr>
      <w:drawing>
        <wp:inline distT="0" distB="0" distL="0" distR="0" wp14:anchorId="53874672" wp14:editId="5B54471B">
          <wp:extent cx="2095500" cy="510442"/>
          <wp:effectExtent l="0" t="0" r="0" b="4445"/>
          <wp:docPr id="3" name="Picture 3" descr="Header, logo for the State of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logo for the State of Iowa Department of Health and Human Services"/>
                  <pic:cNvPicPr/>
                </pic:nvPicPr>
                <pic:blipFill>
                  <a:blip r:embed="rId1">
                    <a:extLst>
                      <a:ext uri="{28A0092B-C50C-407E-A947-70E740481C1C}">
                        <a14:useLocalDpi xmlns:a14="http://schemas.microsoft.com/office/drawing/2010/main" val="0"/>
                      </a:ext>
                    </a:extLst>
                  </a:blip>
                  <a:stretch>
                    <a:fillRect/>
                  </a:stretch>
                </pic:blipFill>
                <pic:spPr>
                  <a:xfrm>
                    <a:off x="0" y="0"/>
                    <a:ext cx="2125521" cy="517755"/>
                  </a:xfrm>
                  <a:prstGeom prst="rect">
                    <a:avLst/>
                  </a:prstGeom>
                </pic:spPr>
              </pic:pic>
            </a:graphicData>
          </a:graphic>
        </wp:inline>
      </w:drawing>
    </w:r>
  </w:p>
  <w:p w14:paraId="0739B52C" w14:textId="77777777" w:rsidR="00B9743C" w:rsidRDefault="00B9743C" w:rsidP="00B9743C">
    <w:pPr>
      <w:spacing w:after="0" w:line="240" w:lineRule="auto"/>
      <w:rPr>
        <w:b/>
      </w:rPr>
    </w:pPr>
  </w:p>
  <w:p w14:paraId="59A363F2" w14:textId="713DE8C1" w:rsidR="00B9743C" w:rsidRPr="00FD15B0" w:rsidRDefault="00B9743C" w:rsidP="00B9743C">
    <w:pPr>
      <w:spacing w:after="0" w:line="240" w:lineRule="auto"/>
    </w:pPr>
    <w:r w:rsidRPr="00FD15B0">
      <w:rPr>
        <w:b/>
      </w:rPr>
      <w:t>Number</w:t>
    </w:r>
    <w:r w:rsidRPr="00FD15B0">
      <w:t xml:space="preserve">: </w:t>
    </w:r>
    <w:r w:rsidR="00E00992">
      <w:t>502-CAH</w:t>
    </w:r>
  </w:p>
  <w:p w14:paraId="6C3E326C" w14:textId="414A7A04" w:rsidR="00B9743C" w:rsidRPr="00FD15B0" w:rsidRDefault="00B9743C" w:rsidP="00B9743C">
    <w:pPr>
      <w:spacing w:after="0" w:line="240" w:lineRule="auto"/>
    </w:pPr>
    <w:r w:rsidRPr="00FD15B0">
      <w:rPr>
        <w:b/>
      </w:rPr>
      <w:t>Title</w:t>
    </w:r>
    <w:r w:rsidRPr="00FD15B0">
      <w:t xml:space="preserve">: </w:t>
    </w:r>
    <w:r w:rsidR="00E00992">
      <w:t>Medical Record Audit</w:t>
    </w:r>
  </w:p>
  <w:p w14:paraId="29214E93" w14:textId="09FE1E7A" w:rsidR="00B9743C" w:rsidRPr="00FD15B0" w:rsidRDefault="00B9743C" w:rsidP="00B9743C">
    <w:pPr>
      <w:spacing w:after="0" w:line="240" w:lineRule="auto"/>
    </w:pPr>
    <w:r w:rsidRPr="00FD15B0">
      <w:rPr>
        <w:b/>
      </w:rPr>
      <w:t>Effective Date</w:t>
    </w:r>
    <w:r w:rsidRPr="00FD15B0">
      <w:t xml:space="preserve">: </w:t>
    </w:r>
    <w:r>
      <w:t>10/01/2016</w:t>
    </w:r>
  </w:p>
  <w:p w14:paraId="7DD02242" w14:textId="44844D33" w:rsidR="00B9743C" w:rsidRPr="00FD15B0" w:rsidRDefault="00B9743C" w:rsidP="00B9743C">
    <w:pPr>
      <w:spacing w:after="0" w:line="240" w:lineRule="auto"/>
    </w:pPr>
    <w:r w:rsidRPr="00FD15B0">
      <w:rPr>
        <w:b/>
      </w:rPr>
      <w:t>Revision Date</w:t>
    </w:r>
    <w:r w:rsidRPr="00FD15B0">
      <w:t>:</w:t>
    </w:r>
    <w:r w:rsidRPr="00C661D0">
      <w:t xml:space="preserve"> </w:t>
    </w:r>
    <w:r w:rsidRPr="00FD15B0">
      <w:t>10/01/2022</w:t>
    </w:r>
  </w:p>
  <w:p w14:paraId="34BF3B68" w14:textId="235AD12E" w:rsidR="00B9743C" w:rsidRPr="00FD15B0" w:rsidRDefault="00B9743C" w:rsidP="00B9743C">
    <w:pPr>
      <w:spacing w:after="0" w:line="240" w:lineRule="auto"/>
    </w:pPr>
    <w:r w:rsidRPr="00FD15B0">
      <w:rPr>
        <w:b/>
      </w:rPr>
      <w:t>Date of Last Review</w:t>
    </w:r>
    <w:r w:rsidRPr="00FD15B0">
      <w:t>:</w:t>
    </w:r>
    <w:r>
      <w:t xml:space="preserve"> 10/01/2022</w:t>
    </w:r>
  </w:p>
  <w:p w14:paraId="7655F341" w14:textId="2E8BCB3F" w:rsidR="00FD1338" w:rsidRDefault="00B9743C" w:rsidP="00B9743C">
    <w:pPr>
      <w:spacing w:after="0"/>
      <w:rPr>
        <w:rStyle w:val="Hyperlink"/>
        <w:rFonts w:eastAsia="Roboto"/>
      </w:rPr>
    </w:pPr>
    <w:r w:rsidRPr="00FD15B0">
      <w:rPr>
        <w:b/>
      </w:rPr>
      <w:t>Authority</w:t>
    </w:r>
    <w:r w:rsidRPr="00FD15B0">
      <w:t>:</w:t>
    </w:r>
    <w:r w:rsidRPr="00FD15B0">
      <w:rPr>
        <w:b/>
      </w:rPr>
      <w:t xml:space="preserve"> </w:t>
    </w:r>
    <w:r w:rsidR="00E00992">
      <w:t>IDPH General Conditions for Service Contracts, IDPH/DHS Omnibus Agreement</w:t>
    </w:r>
  </w:p>
  <w:p w14:paraId="435582E9" w14:textId="77777777" w:rsidR="00B9743C" w:rsidRPr="00B9743C" w:rsidRDefault="00B9743C" w:rsidP="00B9743C">
    <w:pPr>
      <w:spacing w:after="0"/>
      <w:rPr>
        <w:rFonts w:eastAsia="Roboto"/>
        <w:color w:val="854E6E" w:themeColor="hyperlink"/>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1BC85" w14:textId="77777777" w:rsidR="0006334C" w:rsidRDefault="0006334C" w:rsidP="0006334C">
    <w:pPr>
      <w:spacing w:after="0" w:line="240" w:lineRule="auto"/>
      <w:rPr>
        <w:b/>
      </w:rPr>
    </w:pPr>
  </w:p>
  <w:p w14:paraId="0EBE1A4D" w14:textId="77777777" w:rsidR="0006334C" w:rsidRDefault="0006334C" w:rsidP="0006334C">
    <w:pPr>
      <w:spacing w:after="0" w:line="240" w:lineRule="auto"/>
      <w:rPr>
        <w:b/>
      </w:rPr>
    </w:pPr>
  </w:p>
  <w:p w14:paraId="5FA5127B" w14:textId="5A6C22D3" w:rsidR="0006334C" w:rsidRDefault="0006334C" w:rsidP="0006334C">
    <w:pPr>
      <w:spacing w:after="0" w:line="240" w:lineRule="auto"/>
      <w:rPr>
        <w:b/>
      </w:rPr>
    </w:pP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5B77B58" wp14:editId="0999BFD2">
              <wp:simplePos x="0" y="0"/>
              <wp:positionH relativeFrom="column">
                <wp:posOffset>-444501</wp:posOffset>
              </wp:positionH>
              <wp:positionV relativeFrom="margin">
                <wp:posOffset>-2171065</wp:posOffset>
              </wp:positionV>
              <wp:extent cx="0" cy="5394960"/>
              <wp:effectExtent l="19050" t="0" r="19050" b="3429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E4EEB09" id="Group 9" o:spid="_x0000_s1026" alt="&quot;&quot;" style="position:absolute;margin-left:-35pt;margin-top:-170.95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p>
  <w:p w14:paraId="014C56C0" w14:textId="4B140762" w:rsidR="0006334C" w:rsidRDefault="0006334C" w:rsidP="0006334C">
    <w:pPr>
      <w:spacing w:after="0" w:line="240" w:lineRule="auto"/>
      <w:rPr>
        <w:b/>
      </w:rPr>
    </w:pPr>
    <w:r>
      <w:rPr>
        <w:b/>
        <w:noProof/>
      </w:rPr>
      <w:drawing>
        <wp:inline distT="0" distB="0" distL="0" distR="0" wp14:anchorId="15A65F30" wp14:editId="6DB863E4">
          <wp:extent cx="2095500" cy="510442"/>
          <wp:effectExtent l="0" t="0" r="0" b="4445"/>
          <wp:docPr id="2" name="Picture 2" descr="Logo for State of Iowa Department of Health and Human Services on only the firs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State of Iowa Department of Health and Human Services on only the first page"/>
                  <pic:cNvPicPr/>
                </pic:nvPicPr>
                <pic:blipFill>
                  <a:blip r:embed="rId1">
                    <a:extLst>
                      <a:ext uri="{28A0092B-C50C-407E-A947-70E740481C1C}">
                        <a14:useLocalDpi xmlns:a14="http://schemas.microsoft.com/office/drawing/2010/main" val="0"/>
                      </a:ext>
                    </a:extLst>
                  </a:blip>
                  <a:stretch>
                    <a:fillRect/>
                  </a:stretch>
                </pic:blipFill>
                <pic:spPr>
                  <a:xfrm>
                    <a:off x="0" y="0"/>
                    <a:ext cx="2125521" cy="517755"/>
                  </a:xfrm>
                  <a:prstGeom prst="rect">
                    <a:avLst/>
                  </a:prstGeom>
                </pic:spPr>
              </pic:pic>
            </a:graphicData>
          </a:graphic>
        </wp:inline>
      </w:drawing>
    </w:r>
  </w:p>
  <w:p w14:paraId="29EC105E" w14:textId="77777777" w:rsidR="0006334C" w:rsidRDefault="0006334C" w:rsidP="0006334C">
    <w:pPr>
      <w:spacing w:after="0" w:line="240" w:lineRule="auto"/>
      <w:rPr>
        <w:b/>
      </w:rPr>
    </w:pPr>
  </w:p>
  <w:p w14:paraId="41C810B7" w14:textId="68A8AC6F" w:rsidR="0006334C" w:rsidRPr="00FD15B0" w:rsidRDefault="0006334C" w:rsidP="0006334C">
    <w:pPr>
      <w:spacing w:after="0" w:line="240" w:lineRule="auto"/>
    </w:pPr>
    <w:r w:rsidRPr="00FD15B0">
      <w:rPr>
        <w:b/>
      </w:rPr>
      <w:t>Number</w:t>
    </w:r>
    <w:r w:rsidRPr="00FD15B0">
      <w:t>: 101</w:t>
    </w:r>
  </w:p>
  <w:p w14:paraId="333623CF" w14:textId="708DB361" w:rsidR="0006334C" w:rsidRPr="00FD15B0" w:rsidRDefault="0006334C" w:rsidP="0006334C">
    <w:pPr>
      <w:spacing w:after="0" w:line="240" w:lineRule="auto"/>
    </w:pPr>
    <w:r w:rsidRPr="00FD15B0">
      <w:rPr>
        <w:b/>
      </w:rPr>
      <w:t>Title</w:t>
    </w:r>
    <w:r w:rsidRPr="00FD15B0">
      <w:t xml:space="preserve">: Purpose and Framework of the </w:t>
    </w:r>
    <w:r>
      <w:t xml:space="preserve">Maternal Health Program &amp; </w:t>
    </w:r>
    <w:r w:rsidRPr="00FD15B0">
      <w:t>Child and Adolescent Health Program Administrative Manual</w:t>
    </w:r>
  </w:p>
  <w:p w14:paraId="3F08822F" w14:textId="5987B9BD" w:rsidR="0006334C" w:rsidRPr="00FD15B0" w:rsidRDefault="0006334C" w:rsidP="0006334C">
    <w:pPr>
      <w:spacing w:after="0" w:line="240" w:lineRule="auto"/>
    </w:pPr>
    <w:r w:rsidRPr="00FD15B0">
      <w:rPr>
        <w:b/>
      </w:rPr>
      <w:t>Effective Date</w:t>
    </w:r>
    <w:r w:rsidRPr="00FD15B0">
      <w:t xml:space="preserve">: </w:t>
    </w:r>
    <w:r>
      <w:t>10/01/2016</w:t>
    </w:r>
  </w:p>
  <w:p w14:paraId="44771193" w14:textId="2D055C0D" w:rsidR="0006334C" w:rsidRPr="00FD15B0" w:rsidRDefault="0006334C" w:rsidP="0006334C">
    <w:pPr>
      <w:spacing w:after="0" w:line="240" w:lineRule="auto"/>
    </w:pPr>
    <w:r w:rsidRPr="00FD15B0">
      <w:rPr>
        <w:b/>
      </w:rPr>
      <w:t>Revision Date</w:t>
    </w:r>
    <w:r w:rsidRPr="00FD15B0">
      <w:t>:</w:t>
    </w:r>
    <w:r w:rsidRPr="00C661D0">
      <w:t xml:space="preserve"> </w:t>
    </w:r>
    <w:r w:rsidRPr="00FD15B0">
      <w:t>10/01/2022</w:t>
    </w:r>
  </w:p>
  <w:p w14:paraId="26EA1FB4" w14:textId="07D29577" w:rsidR="0006334C" w:rsidRPr="00FD15B0" w:rsidRDefault="0006334C" w:rsidP="0006334C">
    <w:pPr>
      <w:spacing w:after="0" w:line="240" w:lineRule="auto"/>
    </w:pPr>
    <w:r w:rsidRPr="00FD15B0">
      <w:rPr>
        <w:b/>
      </w:rPr>
      <w:t>Date of Last Review</w:t>
    </w:r>
    <w:r w:rsidRPr="00FD15B0">
      <w:t>:</w:t>
    </w:r>
    <w:r>
      <w:t xml:space="preserve"> 10/01/2022</w:t>
    </w:r>
  </w:p>
  <w:p w14:paraId="60EB183C" w14:textId="13E5B07D" w:rsidR="00124889" w:rsidRDefault="0006334C" w:rsidP="0006334C">
    <w:pPr>
      <w:spacing w:after="0"/>
      <w:rPr>
        <w:rStyle w:val="Hyperlink"/>
        <w:rFonts w:eastAsia="Roboto"/>
      </w:rPr>
    </w:pPr>
    <w:r w:rsidRPr="00FD15B0">
      <w:rPr>
        <w:b/>
      </w:rPr>
      <w:t>Authority</w:t>
    </w:r>
    <w:r w:rsidRPr="00FD15B0">
      <w:t>:</w:t>
    </w:r>
    <w:r w:rsidRPr="00FD15B0">
      <w:rPr>
        <w:b/>
      </w:rPr>
      <w:t xml:space="preserve"> </w:t>
    </w:r>
    <w:hyperlink r:id="rId2" w:history="1">
      <w:r w:rsidRPr="00FD15B0">
        <w:rPr>
          <w:rStyle w:val="Hyperlink"/>
          <w:bCs/>
        </w:rPr>
        <w:t>Iowa Code § 135.11(17)</w:t>
      </w:r>
    </w:hyperlink>
    <w:r w:rsidRPr="00FD15B0">
      <w:rPr>
        <w:bCs/>
      </w:rPr>
      <w:t xml:space="preserve">, </w:t>
    </w:r>
    <w:hyperlink r:id="rId3" w:history="1">
      <w:r w:rsidRPr="00FD15B0">
        <w:rPr>
          <w:rStyle w:val="Hyperlink"/>
        </w:rPr>
        <w:t>Iowa Administrative Code 641 IAC 76 (135),</w:t>
      </w:r>
    </w:hyperlink>
    <w:r w:rsidRPr="00FD15B0">
      <w:t xml:space="preserve"> </w:t>
    </w:r>
    <w:hyperlink r:id="rId4" w:history="1">
      <w:r w:rsidRPr="00FD15B0">
        <w:rPr>
          <w:rStyle w:val="Hyperlink"/>
        </w:rPr>
        <w:t>Social Security Act Title V</w:t>
      </w:r>
      <w:r w:rsidRPr="00FD15B0">
        <w:rPr>
          <w:rStyle w:val="Hyperlink"/>
          <w:rFonts w:eastAsia="Roboto"/>
          <w:highlight w:val="white"/>
        </w:rPr>
        <w:t xml:space="preserve"> §§701-710, subchapter V, Chapter 7, Title 42.</w:t>
      </w:r>
    </w:hyperlink>
  </w:p>
  <w:p w14:paraId="6DB06002" w14:textId="77777777" w:rsidR="0006334C" w:rsidRPr="0006334C" w:rsidRDefault="0006334C" w:rsidP="0006334C">
    <w:pPr>
      <w:spacing w:after="0"/>
      <w:rPr>
        <w:rFonts w:eastAsia="Roboto"/>
        <w:color w:val="854E6E" w:themeColor="hyperlink"/>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82B72"/>
    <w:multiLevelType w:val="hybridMultilevel"/>
    <w:tmpl w:val="C67C41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C3EAC"/>
    <w:multiLevelType w:val="hybridMultilevel"/>
    <w:tmpl w:val="0456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55C49"/>
    <w:multiLevelType w:val="multilevel"/>
    <w:tmpl w:val="58809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C41265"/>
    <w:multiLevelType w:val="multilevel"/>
    <w:tmpl w:val="E6A84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6C2524"/>
    <w:multiLevelType w:val="multilevel"/>
    <w:tmpl w:val="3F82F2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BC25ED5"/>
    <w:multiLevelType w:val="multilevel"/>
    <w:tmpl w:val="AD4CD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1A129D"/>
    <w:multiLevelType w:val="multilevel"/>
    <w:tmpl w:val="6FCC4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FF3B51"/>
    <w:multiLevelType w:val="hybridMultilevel"/>
    <w:tmpl w:val="A01264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95C5F"/>
    <w:multiLevelType w:val="multilevel"/>
    <w:tmpl w:val="3F82F2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4C314AD9"/>
    <w:multiLevelType w:val="hybridMultilevel"/>
    <w:tmpl w:val="532AE16C"/>
    <w:lvl w:ilvl="0" w:tplc="FFFFFFFF">
      <w:start w:val="1"/>
      <w:numFmt w:val="bullet"/>
      <w:lvlText w:val=""/>
      <w:lvlJc w:val="left"/>
      <w:pPr>
        <w:ind w:left="720" w:hanging="360"/>
      </w:pPr>
      <w:rPr>
        <w:rFonts w:ascii="Wingdings" w:hAnsi="Wingdings" w:hint="default"/>
      </w:rPr>
    </w:lvl>
    <w:lvl w:ilvl="1" w:tplc="BFBAD7E8">
      <w:start w:val="1"/>
      <w:numFmt w:val="bullet"/>
      <w:lvlText w:val="•"/>
      <w:lvlJc w:val="left"/>
      <w:pPr>
        <w:ind w:left="1440" w:hanging="360"/>
      </w:pPr>
      <w:rPr>
        <w:rFonts w:ascii="Gill Sans MT" w:hAnsi="Gill Sans M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A382D"/>
    <w:multiLevelType w:val="hybridMultilevel"/>
    <w:tmpl w:val="6346EF9E"/>
    <w:lvl w:ilvl="0" w:tplc="3DC625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0"/>
  </w:num>
  <w:num w:numId="4">
    <w:abstractNumId w:val="10"/>
  </w:num>
  <w:num w:numId="5">
    <w:abstractNumId w:val="7"/>
  </w:num>
  <w:num w:numId="6">
    <w:abstractNumId w:val="6"/>
  </w:num>
  <w:num w:numId="7">
    <w:abstractNumId w:val="15"/>
  </w:num>
  <w:num w:numId="8">
    <w:abstractNumId w:val="1"/>
  </w:num>
  <w:num w:numId="9">
    <w:abstractNumId w:val="12"/>
  </w:num>
  <w:num w:numId="10">
    <w:abstractNumId w:val="11"/>
  </w:num>
  <w:num w:numId="11">
    <w:abstractNumId w:val="13"/>
  </w:num>
  <w:num w:numId="12">
    <w:abstractNumId w:val="3"/>
  </w:num>
  <w:num w:numId="13">
    <w:abstractNumId w:val="9"/>
  </w:num>
  <w:num w:numId="14">
    <w:abstractNumId w:val="4"/>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133C3"/>
    <w:rsid w:val="000313F9"/>
    <w:rsid w:val="0003498C"/>
    <w:rsid w:val="00053D5A"/>
    <w:rsid w:val="0006334C"/>
    <w:rsid w:val="000B3C14"/>
    <w:rsid w:val="000D21C4"/>
    <w:rsid w:val="001058CF"/>
    <w:rsid w:val="00114B81"/>
    <w:rsid w:val="00124889"/>
    <w:rsid w:val="00127DEA"/>
    <w:rsid w:val="001306ED"/>
    <w:rsid w:val="0013128A"/>
    <w:rsid w:val="001A3616"/>
    <w:rsid w:val="001F4AF4"/>
    <w:rsid w:val="001F66B9"/>
    <w:rsid w:val="002722ED"/>
    <w:rsid w:val="002B60A4"/>
    <w:rsid w:val="002D3639"/>
    <w:rsid w:val="002F3C9E"/>
    <w:rsid w:val="00324E94"/>
    <w:rsid w:val="00337446"/>
    <w:rsid w:val="003A1CA1"/>
    <w:rsid w:val="003E4677"/>
    <w:rsid w:val="003F209C"/>
    <w:rsid w:val="004216DB"/>
    <w:rsid w:val="00426266"/>
    <w:rsid w:val="0043274C"/>
    <w:rsid w:val="004471AB"/>
    <w:rsid w:val="004C04AD"/>
    <w:rsid w:val="004C1F7A"/>
    <w:rsid w:val="004E212C"/>
    <w:rsid w:val="005141BF"/>
    <w:rsid w:val="00541D3B"/>
    <w:rsid w:val="00563B68"/>
    <w:rsid w:val="005751A7"/>
    <w:rsid w:val="005D22B0"/>
    <w:rsid w:val="005E22B6"/>
    <w:rsid w:val="005E4071"/>
    <w:rsid w:val="00666BFD"/>
    <w:rsid w:val="00675822"/>
    <w:rsid w:val="006A6738"/>
    <w:rsid w:val="006F5E6B"/>
    <w:rsid w:val="00743D5B"/>
    <w:rsid w:val="00765D15"/>
    <w:rsid w:val="00771810"/>
    <w:rsid w:val="007F7641"/>
    <w:rsid w:val="007F7A0F"/>
    <w:rsid w:val="00803832"/>
    <w:rsid w:val="00846CD8"/>
    <w:rsid w:val="008826C2"/>
    <w:rsid w:val="00892846"/>
    <w:rsid w:val="008B00EA"/>
    <w:rsid w:val="008B6287"/>
    <w:rsid w:val="008C2EF0"/>
    <w:rsid w:val="008F1C1C"/>
    <w:rsid w:val="00971B25"/>
    <w:rsid w:val="00981E80"/>
    <w:rsid w:val="009B0ED8"/>
    <w:rsid w:val="00A121A6"/>
    <w:rsid w:val="00A7034D"/>
    <w:rsid w:val="00AD764E"/>
    <w:rsid w:val="00AE0867"/>
    <w:rsid w:val="00AE0DE1"/>
    <w:rsid w:val="00AE7BBF"/>
    <w:rsid w:val="00B55360"/>
    <w:rsid w:val="00B9743C"/>
    <w:rsid w:val="00C17099"/>
    <w:rsid w:val="00C216B0"/>
    <w:rsid w:val="00C21B63"/>
    <w:rsid w:val="00C36B2A"/>
    <w:rsid w:val="00C827C8"/>
    <w:rsid w:val="00CF286B"/>
    <w:rsid w:val="00D86E4A"/>
    <w:rsid w:val="00D95CDC"/>
    <w:rsid w:val="00DA1894"/>
    <w:rsid w:val="00DB1CB2"/>
    <w:rsid w:val="00DC10C5"/>
    <w:rsid w:val="00DF684D"/>
    <w:rsid w:val="00DF7A8F"/>
    <w:rsid w:val="00E00992"/>
    <w:rsid w:val="00E259C1"/>
    <w:rsid w:val="00E30141"/>
    <w:rsid w:val="00E4398F"/>
    <w:rsid w:val="00E96265"/>
    <w:rsid w:val="00F44180"/>
    <w:rsid w:val="00F7513C"/>
    <w:rsid w:val="00F86360"/>
    <w:rsid w:val="00FC531F"/>
    <w:rsid w:val="00FD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C1C"/>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8B628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8B628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basedOn w:val="Normal"/>
    <w:uiPriority w:val="34"/>
    <w:qFormat/>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8B6287"/>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8B6287"/>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8B628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8B6287"/>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8B628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B628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8B6287"/>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B6287"/>
    <w:rPr>
      <w:rFonts w:ascii="Gill Sans MT" w:eastAsia="Times New Roman" w:hAnsi="Gill Sans MT" w:cs="Helvetica"/>
      <w:b/>
      <w:bCs/>
      <w:color w:val="A72740"/>
      <w:sz w:val="24"/>
      <w:szCs w:val="24"/>
      <w:shd w:val="clear" w:color="auto" w:fill="FFFFFF"/>
    </w:rPr>
  </w:style>
  <w:style w:type="character" w:styleId="Hyperlink">
    <w:name w:val="Hyperlink"/>
    <w:basedOn w:val="DefaultParagraphFont"/>
    <w:uiPriority w:val="99"/>
    <w:unhideWhenUsed/>
    <w:rsid w:val="0006334C"/>
    <w:rPr>
      <w:color w:val="854E6E" w:themeColor="hyperlink"/>
      <w:u w:val="single"/>
    </w:rPr>
  </w:style>
  <w:style w:type="character" w:styleId="FollowedHyperlink">
    <w:name w:val="FollowedHyperlink"/>
    <w:basedOn w:val="DefaultParagraphFont"/>
    <w:uiPriority w:val="99"/>
    <w:semiHidden/>
    <w:unhideWhenUsed/>
    <w:rsid w:val="00D95CDC"/>
    <w:rPr>
      <w:color w:val="EA642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638527">
      <w:bodyDiv w:val="1"/>
      <w:marLeft w:val="0"/>
      <w:marRight w:val="0"/>
      <w:marTop w:val="0"/>
      <w:marBottom w:val="0"/>
      <w:divBdr>
        <w:top w:val="none" w:sz="0" w:space="0" w:color="auto"/>
        <w:left w:val="none" w:sz="0" w:space="0" w:color="auto"/>
        <w:bottom w:val="none" w:sz="0" w:space="0" w:color="auto"/>
        <w:right w:val="none" w:sz="0" w:space="0" w:color="auto"/>
      </w:divBdr>
    </w:div>
    <w:div w:id="197987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s.iowa.gov/sites/default/files/Scenter.pdf?092320202059" TargetMode="External"/><Relationship Id="rId13" Type="http://schemas.openxmlformats.org/officeDocument/2006/relationships/hyperlink" Target="https://idph.iowa.gov/finance/funding-opportunities/general-condition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dhs.iowa.gov/sites/default/files/Scenter.pdf?09232020205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ph.iowa.gov/family-health/mch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iowa.gov/docs/iac/rule/03-28-2018.441.79.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iowa.gov/docs/iac/rule/03-28-2018.441.79.3.pdf"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www.legis.iowa.gov/docs/iac/chapter/641.76.pdf" TargetMode="External"/><Relationship Id="rId2" Type="http://schemas.openxmlformats.org/officeDocument/2006/relationships/hyperlink" Target="https://www.legis.iowa.gov/docs/code/135.11.pdf" TargetMode="External"/><Relationship Id="rId1" Type="http://schemas.openxmlformats.org/officeDocument/2006/relationships/image" Target="media/image1.png"/><Relationship Id="rId4" Type="http://schemas.openxmlformats.org/officeDocument/2006/relationships/hyperlink" Target="https://www.ssa.gov/OP_Home/ssact/title05/0500.htm" TargetMode="External"/></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50F1C-B61C-4815-85C5-E2ECE84F22EB}">
  <ds:schemaRefs>
    <ds:schemaRef ds:uri="http://schemas.openxmlformats.org/officeDocument/2006/bibliography"/>
  </ds:schemaRefs>
</ds:datastoreItem>
</file>

<file path=customXml/itemProps2.xml><?xml version="1.0" encoding="utf-8"?>
<ds:datastoreItem xmlns:ds="http://schemas.openxmlformats.org/officeDocument/2006/customXml" ds:itemID="{5703D7DF-9C7E-4BAA-8245-3F879A3ABE1D}"/>
</file>

<file path=customXml/itemProps3.xml><?xml version="1.0" encoding="utf-8"?>
<ds:datastoreItem xmlns:ds="http://schemas.openxmlformats.org/officeDocument/2006/customXml" ds:itemID="{54E51EF0-C784-416D-8679-3B3D4ECEC8A6}"/>
</file>

<file path=customXml/itemProps4.xml><?xml version="1.0" encoding="utf-8"?>
<ds:datastoreItem xmlns:ds="http://schemas.openxmlformats.org/officeDocument/2006/customXml" ds:itemID="{72514728-1D40-4E47-8EC9-C718938CC84B}"/>
</file>

<file path=docProps/app.xml><?xml version="1.0" encoding="utf-8"?>
<Properties xmlns="http://schemas.openxmlformats.org/officeDocument/2006/extended-properties" xmlns:vt="http://schemas.openxmlformats.org/officeDocument/2006/docPropsVTypes">
  <Template>Normal</Template>
  <TotalTime>68</TotalTime>
  <Pages>1</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Chebuhar, Amy</cp:lastModifiedBy>
  <cp:revision>9</cp:revision>
  <cp:lastPrinted>2022-06-17T14:00:00Z</cp:lastPrinted>
  <dcterms:created xsi:type="dcterms:W3CDTF">2022-08-22T14:52:00Z</dcterms:created>
  <dcterms:modified xsi:type="dcterms:W3CDTF">2023-01-23T20:41:00Z</dcterms:modified>
</cp:coreProperties>
</file>