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4B93" w14:textId="476317CB" w:rsidR="00ED039E" w:rsidRDefault="00ED039E" w:rsidP="007F10B7">
      <w:pPr>
        <w:pStyle w:val="Title"/>
      </w:pPr>
      <w:r w:rsidRPr="007F10B7">
        <w:t xml:space="preserve">Maternal </w:t>
      </w:r>
      <w:r w:rsidR="00681BBC">
        <w:t xml:space="preserve">Health </w:t>
      </w:r>
      <w:r w:rsidR="00500AF0">
        <w:t>Forms – When to Use Each Form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065"/>
        <w:gridCol w:w="3330"/>
        <w:gridCol w:w="2340"/>
        <w:gridCol w:w="5310"/>
      </w:tblGrid>
      <w:tr w:rsidR="00500AF0" w14:paraId="4C9331F9" w14:textId="77777777" w:rsidTr="00457211">
        <w:tc>
          <w:tcPr>
            <w:tcW w:w="2065" w:type="dxa"/>
          </w:tcPr>
          <w:p w14:paraId="568F3DD4" w14:textId="61419D9C" w:rsidR="00500AF0" w:rsidRDefault="00500AF0" w:rsidP="00500AF0">
            <w:r>
              <w:t>Form Name</w:t>
            </w:r>
          </w:p>
        </w:tc>
        <w:tc>
          <w:tcPr>
            <w:tcW w:w="3330" w:type="dxa"/>
          </w:tcPr>
          <w:p w14:paraId="5043CA7A" w14:textId="7801A0B0" w:rsidR="00500AF0" w:rsidRDefault="00500AF0" w:rsidP="00500AF0">
            <w:r>
              <w:t>Basic Elements</w:t>
            </w:r>
          </w:p>
        </w:tc>
        <w:tc>
          <w:tcPr>
            <w:tcW w:w="2340" w:type="dxa"/>
          </w:tcPr>
          <w:p w14:paraId="53BB89B4" w14:textId="2C2F4AD2" w:rsidR="00500AF0" w:rsidRDefault="00500AF0" w:rsidP="00500AF0">
            <w:r>
              <w:t>When to Use</w:t>
            </w:r>
          </w:p>
        </w:tc>
        <w:tc>
          <w:tcPr>
            <w:tcW w:w="5310" w:type="dxa"/>
          </w:tcPr>
          <w:p w14:paraId="5C9EA0FF" w14:textId="0387933E" w:rsidR="00500AF0" w:rsidRDefault="00500AF0" w:rsidP="00500AF0">
            <w:r>
              <w:t>Additional Notes</w:t>
            </w:r>
          </w:p>
        </w:tc>
      </w:tr>
      <w:tr w:rsidR="00500AF0" w14:paraId="6E22A814" w14:textId="77777777" w:rsidTr="00457211">
        <w:tc>
          <w:tcPr>
            <w:tcW w:w="2065" w:type="dxa"/>
          </w:tcPr>
          <w:p w14:paraId="45F10768" w14:textId="78BF641B" w:rsidR="00500AF0" w:rsidRDefault="00500AF0" w:rsidP="00500AF0">
            <w:r>
              <w:t>MH Intake Form</w:t>
            </w:r>
          </w:p>
        </w:tc>
        <w:tc>
          <w:tcPr>
            <w:tcW w:w="3330" w:type="dxa"/>
          </w:tcPr>
          <w:p w14:paraId="5CCAA36E" w14:textId="77777777" w:rsidR="00500AF0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Client information</w:t>
            </w:r>
          </w:p>
          <w:p w14:paraId="4AB5F47A" w14:textId="18929AAA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Signify Intake Survey Info</w:t>
            </w:r>
          </w:p>
        </w:tc>
        <w:tc>
          <w:tcPr>
            <w:tcW w:w="2340" w:type="dxa"/>
          </w:tcPr>
          <w:p w14:paraId="4170C20A" w14:textId="4C12B1B4" w:rsidR="00500AF0" w:rsidRDefault="006F0FC5" w:rsidP="00500AF0">
            <w:r>
              <w:t>First visit (all types)</w:t>
            </w:r>
          </w:p>
        </w:tc>
        <w:tc>
          <w:tcPr>
            <w:tcW w:w="5310" w:type="dxa"/>
          </w:tcPr>
          <w:p w14:paraId="1DD0CBAF" w14:textId="6CA5CCF8" w:rsidR="00500AF0" w:rsidRDefault="006F0FC5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All captured in Signify – paper copy not required to be kept for paper chart</w:t>
            </w:r>
          </w:p>
        </w:tc>
      </w:tr>
      <w:tr w:rsidR="00500AF0" w14:paraId="0DC53F34" w14:textId="77777777" w:rsidTr="00457211">
        <w:tc>
          <w:tcPr>
            <w:tcW w:w="2065" w:type="dxa"/>
          </w:tcPr>
          <w:p w14:paraId="4296E740" w14:textId="3554E696" w:rsidR="00500AF0" w:rsidRDefault="006F0FC5" w:rsidP="00500AF0">
            <w:r>
              <w:t>Client MH Intake Form</w:t>
            </w:r>
          </w:p>
        </w:tc>
        <w:tc>
          <w:tcPr>
            <w:tcW w:w="3330" w:type="dxa"/>
          </w:tcPr>
          <w:p w14:paraId="32B0C2D3" w14:textId="508608CA" w:rsidR="00500AF0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Signify Client demographics – Designed to be completed by the client or filled out by provider if low li</w:t>
            </w:r>
            <w:bookmarkStart w:id="0" w:name="_GoBack"/>
            <w:bookmarkEnd w:id="0"/>
            <w:r>
              <w:t>teracy</w:t>
            </w:r>
          </w:p>
          <w:p w14:paraId="2BAD57BC" w14:textId="77777777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Signify Oral Health Survey Info</w:t>
            </w:r>
          </w:p>
          <w:p w14:paraId="32324FF4" w14:textId="2986B844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Education topics – allows for client-directed education</w:t>
            </w:r>
          </w:p>
        </w:tc>
        <w:tc>
          <w:tcPr>
            <w:tcW w:w="2340" w:type="dxa"/>
          </w:tcPr>
          <w:p w14:paraId="4F3204FA" w14:textId="22843BB3" w:rsidR="00500AF0" w:rsidRDefault="006F0FC5" w:rsidP="00500AF0">
            <w:r>
              <w:t>First visit (all types)</w:t>
            </w:r>
          </w:p>
        </w:tc>
        <w:tc>
          <w:tcPr>
            <w:tcW w:w="5310" w:type="dxa"/>
          </w:tcPr>
          <w:p w14:paraId="06FD457C" w14:textId="77777777" w:rsidR="00500AF0" w:rsidRDefault="006F0FC5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Will be translated</w:t>
            </w:r>
          </w:p>
          <w:p w14:paraId="4CF5D3A5" w14:textId="5BBFD79C" w:rsidR="006F0FC5" w:rsidRDefault="006F0FC5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Paper copy must be kept for client education section</w:t>
            </w:r>
          </w:p>
        </w:tc>
      </w:tr>
      <w:tr w:rsidR="006F0FC5" w14:paraId="36CCA313" w14:textId="77777777" w:rsidTr="00457211">
        <w:tc>
          <w:tcPr>
            <w:tcW w:w="2065" w:type="dxa"/>
          </w:tcPr>
          <w:p w14:paraId="126C406D" w14:textId="650838A1" w:rsidR="006F0FC5" w:rsidRDefault="006F0FC5" w:rsidP="00500AF0">
            <w:r>
              <w:t>MH Visit Summary Form</w:t>
            </w:r>
          </w:p>
        </w:tc>
        <w:tc>
          <w:tcPr>
            <w:tcW w:w="3330" w:type="dxa"/>
          </w:tcPr>
          <w:p w14:paraId="4E9AA99C" w14:textId="59AD8670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General visit information (for Signify health services activity/</w:t>
            </w:r>
            <w:proofErr w:type="spellStart"/>
            <w:r>
              <w:t>ies</w:t>
            </w:r>
            <w:proofErr w:type="spellEnd"/>
            <w:r>
              <w:t>)</w:t>
            </w:r>
          </w:p>
          <w:p w14:paraId="4262219C" w14:textId="77777777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Signify All Visit Survey information</w:t>
            </w:r>
          </w:p>
          <w:p w14:paraId="5DF06180" w14:textId="6798647C" w:rsidR="006F0FC5" w:rsidRDefault="006F0FC5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Narrative summary for visit</w:t>
            </w:r>
          </w:p>
        </w:tc>
        <w:tc>
          <w:tcPr>
            <w:tcW w:w="2340" w:type="dxa"/>
          </w:tcPr>
          <w:p w14:paraId="69D94569" w14:textId="3642CBD6" w:rsidR="006F0FC5" w:rsidRDefault="00E027BA" w:rsidP="00500AF0">
            <w:r>
              <w:t>New form to be completed for a</w:t>
            </w:r>
            <w:r w:rsidR="006F0FC5">
              <w:t>ll visits (all types)</w:t>
            </w:r>
          </w:p>
        </w:tc>
        <w:tc>
          <w:tcPr>
            <w:tcW w:w="5310" w:type="dxa"/>
          </w:tcPr>
          <w:p w14:paraId="3C41958C" w14:textId="77777777" w:rsidR="006F0FC5" w:rsidRDefault="006F0FC5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Page 1 captured in Signify, page 2 must be retained for charting narrative</w:t>
            </w:r>
          </w:p>
          <w:p w14:paraId="4F48CC26" w14:textId="533049AE" w:rsidR="006F0FC5" w:rsidRDefault="006F0FC5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Narrative must encompass all services provided for the entire visit, including but not limited to client responses to health education to</w:t>
            </w:r>
            <w:r w:rsidR="00E027BA">
              <w:t>pics, client affect and overall social situation, narrative interpretation of any screening provided, etc.</w:t>
            </w:r>
          </w:p>
        </w:tc>
      </w:tr>
      <w:tr w:rsidR="00E027BA" w14:paraId="419BA610" w14:textId="77777777" w:rsidTr="00457211">
        <w:tc>
          <w:tcPr>
            <w:tcW w:w="2065" w:type="dxa"/>
          </w:tcPr>
          <w:p w14:paraId="0BB2CF44" w14:textId="3520D195" w:rsidR="00E027BA" w:rsidRDefault="00E027BA" w:rsidP="00500AF0">
            <w:r>
              <w:t>MH Education</w:t>
            </w:r>
          </w:p>
        </w:tc>
        <w:tc>
          <w:tcPr>
            <w:tcW w:w="3330" w:type="dxa"/>
          </w:tcPr>
          <w:p w14:paraId="65C61993" w14:textId="4EF54E08" w:rsidR="00E027BA" w:rsidRDefault="00E027BA" w:rsidP="006F0FC5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Required health education checklist by trimester</w:t>
            </w:r>
          </w:p>
        </w:tc>
        <w:tc>
          <w:tcPr>
            <w:tcW w:w="2340" w:type="dxa"/>
          </w:tcPr>
          <w:p w14:paraId="7BD00D3E" w14:textId="3D4B04DE" w:rsidR="00E027BA" w:rsidRDefault="00E027BA" w:rsidP="00E027BA">
            <w:r>
              <w:t>One form per client, with Health Education H1003 or home visit S9123</w:t>
            </w:r>
          </w:p>
        </w:tc>
        <w:tc>
          <w:tcPr>
            <w:tcW w:w="5310" w:type="dxa"/>
          </w:tcPr>
          <w:p w14:paraId="7798F27D" w14:textId="4E2418E6" w:rsidR="00E027BA" w:rsidRDefault="00E027BA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 xml:space="preserve">Health education topics are dependent upon when in the pregnancy the client is seen.  A single form should be used for each client and updated with new education topics at each visit.  Each topic has a line for the date the topic was covered and staff initials.  </w:t>
            </w:r>
          </w:p>
        </w:tc>
      </w:tr>
      <w:tr w:rsidR="00E027BA" w14:paraId="2A249973" w14:textId="77777777" w:rsidTr="00457211">
        <w:tc>
          <w:tcPr>
            <w:tcW w:w="2065" w:type="dxa"/>
          </w:tcPr>
          <w:p w14:paraId="127E268D" w14:textId="728C1B15" w:rsidR="00E027BA" w:rsidRDefault="00E027BA" w:rsidP="00500AF0">
            <w:r>
              <w:t>MH Psychosocial</w:t>
            </w:r>
          </w:p>
        </w:tc>
        <w:tc>
          <w:tcPr>
            <w:tcW w:w="3330" w:type="dxa"/>
          </w:tcPr>
          <w:p w14:paraId="121AD31C" w14:textId="60C6BEC2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 xml:space="preserve">Basic needs (housing, food, </w:t>
            </w:r>
            <w:r w:rsidR="00457211">
              <w:t>employment</w:t>
            </w:r>
            <w:r>
              <w:t>)</w:t>
            </w:r>
          </w:p>
          <w:p w14:paraId="3E72C028" w14:textId="77777777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Adjusting to pregnancy</w:t>
            </w:r>
          </w:p>
          <w:p w14:paraId="0C99B19D" w14:textId="16324AF9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Mental health history</w:t>
            </w:r>
          </w:p>
        </w:tc>
        <w:tc>
          <w:tcPr>
            <w:tcW w:w="2340" w:type="dxa"/>
          </w:tcPr>
          <w:p w14:paraId="7F3F84F6" w14:textId="611FAB00" w:rsidR="00E027BA" w:rsidRDefault="00E027BA" w:rsidP="00E027BA">
            <w:r>
              <w:t xml:space="preserve">New form for each psychosocial assessment H0046 completed </w:t>
            </w:r>
          </w:p>
        </w:tc>
        <w:tc>
          <w:tcPr>
            <w:tcW w:w="5310" w:type="dxa"/>
          </w:tcPr>
          <w:p w14:paraId="42DCC2A9" w14:textId="3D92FC9C" w:rsidR="00E027BA" w:rsidRDefault="00E027BA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  <w:r>
              <w:t>For home visits, these elements will be captured in the comprehensive home visit form</w:t>
            </w:r>
          </w:p>
        </w:tc>
      </w:tr>
      <w:tr w:rsidR="00E027BA" w14:paraId="01B35469" w14:textId="77777777" w:rsidTr="00457211">
        <w:tc>
          <w:tcPr>
            <w:tcW w:w="2065" w:type="dxa"/>
          </w:tcPr>
          <w:p w14:paraId="3D99F4A7" w14:textId="5F6C6937" w:rsidR="00E027BA" w:rsidRDefault="00E027BA" w:rsidP="00500AF0">
            <w:r>
              <w:t>MH Nursing Assessment</w:t>
            </w:r>
          </w:p>
        </w:tc>
        <w:tc>
          <w:tcPr>
            <w:tcW w:w="3330" w:type="dxa"/>
          </w:tcPr>
          <w:p w14:paraId="564B912B" w14:textId="62EE02CB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>Coming soon!</w:t>
            </w:r>
          </w:p>
        </w:tc>
        <w:tc>
          <w:tcPr>
            <w:tcW w:w="2340" w:type="dxa"/>
          </w:tcPr>
          <w:p w14:paraId="2C0D0B0B" w14:textId="77777777" w:rsidR="00E027BA" w:rsidRDefault="00E027BA" w:rsidP="00E027BA"/>
        </w:tc>
        <w:tc>
          <w:tcPr>
            <w:tcW w:w="5310" w:type="dxa"/>
          </w:tcPr>
          <w:p w14:paraId="0B6D7878" w14:textId="77777777" w:rsidR="00E027BA" w:rsidRDefault="00E027BA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</w:p>
        </w:tc>
      </w:tr>
      <w:tr w:rsidR="00E027BA" w14:paraId="674D0B65" w14:textId="77777777" w:rsidTr="00457211">
        <w:tc>
          <w:tcPr>
            <w:tcW w:w="2065" w:type="dxa"/>
          </w:tcPr>
          <w:p w14:paraId="3F674EA0" w14:textId="52A0D17D" w:rsidR="00E027BA" w:rsidRDefault="00E027BA" w:rsidP="00500AF0">
            <w:r>
              <w:t>MH Home Visit Form</w:t>
            </w:r>
          </w:p>
        </w:tc>
        <w:tc>
          <w:tcPr>
            <w:tcW w:w="3330" w:type="dxa"/>
          </w:tcPr>
          <w:p w14:paraId="79403221" w14:textId="65508BC7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 xml:space="preserve">Coming Soon! </w:t>
            </w:r>
          </w:p>
        </w:tc>
        <w:tc>
          <w:tcPr>
            <w:tcW w:w="2340" w:type="dxa"/>
          </w:tcPr>
          <w:p w14:paraId="2ED00C4F" w14:textId="77777777" w:rsidR="00E027BA" w:rsidRDefault="00E027BA" w:rsidP="00E027BA"/>
        </w:tc>
        <w:tc>
          <w:tcPr>
            <w:tcW w:w="5310" w:type="dxa"/>
          </w:tcPr>
          <w:p w14:paraId="7E74F0F6" w14:textId="77777777" w:rsidR="00E027BA" w:rsidRDefault="00E027BA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</w:p>
        </w:tc>
      </w:tr>
      <w:tr w:rsidR="00E027BA" w14:paraId="2E45224C" w14:textId="77777777" w:rsidTr="00457211">
        <w:tc>
          <w:tcPr>
            <w:tcW w:w="2065" w:type="dxa"/>
          </w:tcPr>
          <w:p w14:paraId="08F93674" w14:textId="1A317DC8" w:rsidR="00E027BA" w:rsidRDefault="00E027BA" w:rsidP="00500AF0">
            <w:r>
              <w:t>MH Discharge Form</w:t>
            </w:r>
          </w:p>
        </w:tc>
        <w:tc>
          <w:tcPr>
            <w:tcW w:w="3330" w:type="dxa"/>
          </w:tcPr>
          <w:p w14:paraId="5BAAA395" w14:textId="62F5518B" w:rsidR="00E027BA" w:rsidRDefault="00E027BA" w:rsidP="00E027BA">
            <w:pPr>
              <w:pStyle w:val="ListParagraph"/>
              <w:numPr>
                <w:ilvl w:val="0"/>
                <w:numId w:val="14"/>
              </w:numPr>
              <w:ind w:left="346" w:hanging="194"/>
            </w:pPr>
            <w:r>
              <w:t xml:space="preserve">Coming Soon! </w:t>
            </w:r>
          </w:p>
        </w:tc>
        <w:tc>
          <w:tcPr>
            <w:tcW w:w="2340" w:type="dxa"/>
          </w:tcPr>
          <w:p w14:paraId="3C5261BF" w14:textId="77777777" w:rsidR="00E027BA" w:rsidRDefault="00E027BA" w:rsidP="00E027BA"/>
        </w:tc>
        <w:tc>
          <w:tcPr>
            <w:tcW w:w="5310" w:type="dxa"/>
          </w:tcPr>
          <w:p w14:paraId="3F7CB554" w14:textId="77777777" w:rsidR="00E027BA" w:rsidRDefault="00E027BA" w:rsidP="006F0FC5">
            <w:pPr>
              <w:pStyle w:val="ListParagraph"/>
              <w:numPr>
                <w:ilvl w:val="0"/>
                <w:numId w:val="15"/>
              </w:numPr>
              <w:ind w:left="256" w:hanging="194"/>
            </w:pPr>
          </w:p>
        </w:tc>
      </w:tr>
    </w:tbl>
    <w:p w14:paraId="3F949CC4" w14:textId="77777777" w:rsidR="00500AF0" w:rsidRPr="00500AF0" w:rsidRDefault="00500AF0" w:rsidP="00500AF0"/>
    <w:sectPr w:rsidR="00500AF0" w:rsidRPr="00500AF0" w:rsidSect="0045721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1E84A" w14:textId="77777777" w:rsidR="00EC6676" w:rsidRDefault="00EC6676" w:rsidP="00B00FCF">
      <w:pPr>
        <w:spacing w:after="0" w:line="240" w:lineRule="auto"/>
      </w:pPr>
      <w:r>
        <w:separator/>
      </w:r>
    </w:p>
  </w:endnote>
  <w:endnote w:type="continuationSeparator" w:id="0">
    <w:p w14:paraId="0D72C516" w14:textId="77777777" w:rsidR="00EC6676" w:rsidRDefault="00EC6676" w:rsidP="00B0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D7AF" w14:textId="0B8F8D6B" w:rsidR="00A9618C" w:rsidRPr="00A9618C" w:rsidRDefault="00A9618C">
    <w:pPr>
      <w:pStyle w:val="Footer"/>
      <w:rPr>
        <w:sz w:val="18"/>
      </w:rPr>
    </w:pPr>
    <w:r w:rsidRPr="00A9618C">
      <w:rPr>
        <w:sz w:val="18"/>
      </w:rPr>
      <w:t xml:space="preserve">Maternal Health </w:t>
    </w:r>
    <w:r w:rsidR="00FF4871">
      <w:rPr>
        <w:sz w:val="18"/>
      </w:rPr>
      <w:t>Forms – when to use</w:t>
    </w:r>
    <w:r w:rsidRPr="00A9618C">
      <w:rPr>
        <w:sz w:val="18"/>
      </w:rPr>
      <w:ptab w:relativeTo="margin" w:alignment="center" w:leader="none"/>
    </w:r>
    <w:r w:rsidRPr="00A9618C">
      <w:rPr>
        <w:sz w:val="18"/>
      </w:rPr>
      <w:fldChar w:fldCharType="begin"/>
    </w:r>
    <w:r w:rsidRPr="00A9618C">
      <w:rPr>
        <w:sz w:val="18"/>
      </w:rPr>
      <w:instrText xml:space="preserve"> PAGE   \* MERGEFORMAT </w:instrText>
    </w:r>
    <w:r w:rsidRPr="00A9618C">
      <w:rPr>
        <w:sz w:val="18"/>
      </w:rPr>
      <w:fldChar w:fldCharType="separate"/>
    </w:r>
    <w:r w:rsidR="00FF4871">
      <w:rPr>
        <w:noProof/>
        <w:sz w:val="18"/>
      </w:rPr>
      <w:t>1</w:t>
    </w:r>
    <w:r w:rsidRPr="00A9618C">
      <w:rPr>
        <w:noProof/>
        <w:sz w:val="18"/>
      </w:rPr>
      <w:fldChar w:fldCharType="end"/>
    </w:r>
    <w:r w:rsidRPr="00A9618C">
      <w:rPr>
        <w:sz w:val="18"/>
      </w:rPr>
      <w:ptab w:relativeTo="margin" w:alignment="right" w:leader="none"/>
    </w:r>
    <w:r w:rsidRPr="00A9618C">
      <w:rPr>
        <w:sz w:val="18"/>
      </w:rPr>
      <w:t>Revised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93A4" w14:textId="77777777" w:rsidR="00EC6676" w:rsidRDefault="00EC6676" w:rsidP="00B00FCF">
      <w:pPr>
        <w:spacing w:after="0" w:line="240" w:lineRule="auto"/>
      </w:pPr>
      <w:r>
        <w:separator/>
      </w:r>
    </w:p>
  </w:footnote>
  <w:footnote w:type="continuationSeparator" w:id="0">
    <w:p w14:paraId="7B82620D" w14:textId="77777777" w:rsidR="00EC6676" w:rsidRDefault="00EC6676" w:rsidP="00B0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8B1A" w14:textId="2B0C4671" w:rsidR="00AF2F07" w:rsidRDefault="00832736" w:rsidP="00832736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5566841" wp14:editId="690D0342">
          <wp:simplePos x="0" y="0"/>
          <wp:positionH relativeFrom="column">
            <wp:posOffset>8074025</wp:posOffset>
          </wp:positionH>
          <wp:positionV relativeFrom="paragraph">
            <wp:posOffset>-247650</wp:posOffset>
          </wp:positionV>
          <wp:extent cx="612775" cy="544830"/>
          <wp:effectExtent l="0" t="0" r="0" b="762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C72"/>
    <w:multiLevelType w:val="hybridMultilevel"/>
    <w:tmpl w:val="5E7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FFF"/>
    <w:multiLevelType w:val="hybridMultilevel"/>
    <w:tmpl w:val="5C488DF4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F7A"/>
    <w:multiLevelType w:val="hybridMultilevel"/>
    <w:tmpl w:val="59801A5E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068A"/>
    <w:multiLevelType w:val="multilevel"/>
    <w:tmpl w:val="05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950A2"/>
    <w:multiLevelType w:val="hybridMultilevel"/>
    <w:tmpl w:val="1624BAFC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91ED3"/>
    <w:multiLevelType w:val="hybridMultilevel"/>
    <w:tmpl w:val="84E4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F"/>
    <w:multiLevelType w:val="hybridMultilevel"/>
    <w:tmpl w:val="BEF8CBD0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583F"/>
    <w:multiLevelType w:val="hybridMultilevel"/>
    <w:tmpl w:val="A3465CD6"/>
    <w:lvl w:ilvl="0" w:tplc="A44EB15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B60"/>
    <w:multiLevelType w:val="hybridMultilevel"/>
    <w:tmpl w:val="E08864F0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84D"/>
    <w:multiLevelType w:val="hybridMultilevel"/>
    <w:tmpl w:val="414C8B4A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E59CF"/>
    <w:multiLevelType w:val="hybridMultilevel"/>
    <w:tmpl w:val="25488C30"/>
    <w:lvl w:ilvl="0" w:tplc="19CE5F46">
      <w:numFmt w:val="bullet"/>
      <w:lvlText w:val=""/>
      <w:lvlJc w:val="left"/>
      <w:pPr>
        <w:ind w:left="69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" w15:restartNumberingAfterBreak="0">
    <w:nsid w:val="647F1602"/>
    <w:multiLevelType w:val="hybridMultilevel"/>
    <w:tmpl w:val="2092E4F6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45FA8"/>
    <w:multiLevelType w:val="hybridMultilevel"/>
    <w:tmpl w:val="F57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74A"/>
    <w:multiLevelType w:val="hybridMultilevel"/>
    <w:tmpl w:val="B6DED97C"/>
    <w:lvl w:ilvl="0" w:tplc="19CE5F4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83C9B"/>
    <w:multiLevelType w:val="hybridMultilevel"/>
    <w:tmpl w:val="941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B"/>
    <w:rsid w:val="0000399C"/>
    <w:rsid w:val="00035A90"/>
    <w:rsid w:val="00037F65"/>
    <w:rsid w:val="00047BEB"/>
    <w:rsid w:val="0005305D"/>
    <w:rsid w:val="000C03D8"/>
    <w:rsid w:val="000C0BAB"/>
    <w:rsid w:val="0011171C"/>
    <w:rsid w:val="00137A7B"/>
    <w:rsid w:val="00141D45"/>
    <w:rsid w:val="00151880"/>
    <w:rsid w:val="0015472F"/>
    <w:rsid w:val="00163F0A"/>
    <w:rsid w:val="00171BE4"/>
    <w:rsid w:val="001A1B10"/>
    <w:rsid w:val="001C252A"/>
    <w:rsid w:val="002018D5"/>
    <w:rsid w:val="00203401"/>
    <w:rsid w:val="002238E7"/>
    <w:rsid w:val="00237F9B"/>
    <w:rsid w:val="002516C5"/>
    <w:rsid w:val="00273806"/>
    <w:rsid w:val="00273CF9"/>
    <w:rsid w:val="00287136"/>
    <w:rsid w:val="002924A3"/>
    <w:rsid w:val="00305A2E"/>
    <w:rsid w:val="00313B10"/>
    <w:rsid w:val="00320E17"/>
    <w:rsid w:val="003240A8"/>
    <w:rsid w:val="00331496"/>
    <w:rsid w:val="00342B81"/>
    <w:rsid w:val="00354A2D"/>
    <w:rsid w:val="0038233A"/>
    <w:rsid w:val="003B658C"/>
    <w:rsid w:val="003C0C53"/>
    <w:rsid w:val="00430027"/>
    <w:rsid w:val="00457211"/>
    <w:rsid w:val="0046614F"/>
    <w:rsid w:val="00495B88"/>
    <w:rsid w:val="004D59F3"/>
    <w:rsid w:val="004E5BA5"/>
    <w:rsid w:val="004F165C"/>
    <w:rsid w:val="004F79B5"/>
    <w:rsid w:val="00500AF0"/>
    <w:rsid w:val="00583C90"/>
    <w:rsid w:val="005A0EF6"/>
    <w:rsid w:val="005C56F8"/>
    <w:rsid w:val="00621E36"/>
    <w:rsid w:val="00622382"/>
    <w:rsid w:val="00644F95"/>
    <w:rsid w:val="0066438B"/>
    <w:rsid w:val="00681BBC"/>
    <w:rsid w:val="006A211A"/>
    <w:rsid w:val="006A242D"/>
    <w:rsid w:val="006D11CE"/>
    <w:rsid w:val="006F0FC5"/>
    <w:rsid w:val="0073308D"/>
    <w:rsid w:val="0074175B"/>
    <w:rsid w:val="00772406"/>
    <w:rsid w:val="0078290D"/>
    <w:rsid w:val="00784B1C"/>
    <w:rsid w:val="007C563E"/>
    <w:rsid w:val="007F10B7"/>
    <w:rsid w:val="00825BE9"/>
    <w:rsid w:val="00832736"/>
    <w:rsid w:val="008374CD"/>
    <w:rsid w:val="00843028"/>
    <w:rsid w:val="008575B2"/>
    <w:rsid w:val="00876A80"/>
    <w:rsid w:val="00876F0A"/>
    <w:rsid w:val="00897E8E"/>
    <w:rsid w:val="00933352"/>
    <w:rsid w:val="009B2B17"/>
    <w:rsid w:val="009D5A9F"/>
    <w:rsid w:val="00A40693"/>
    <w:rsid w:val="00A41C57"/>
    <w:rsid w:val="00A44951"/>
    <w:rsid w:val="00A62C9C"/>
    <w:rsid w:val="00A632DD"/>
    <w:rsid w:val="00A64E72"/>
    <w:rsid w:val="00A9618C"/>
    <w:rsid w:val="00AD18DA"/>
    <w:rsid w:val="00AD683E"/>
    <w:rsid w:val="00AF2F07"/>
    <w:rsid w:val="00B00FCF"/>
    <w:rsid w:val="00B37DE4"/>
    <w:rsid w:val="00B82EAE"/>
    <w:rsid w:val="00B90E43"/>
    <w:rsid w:val="00BD6CDE"/>
    <w:rsid w:val="00C04901"/>
    <w:rsid w:val="00C07A33"/>
    <w:rsid w:val="00C268C9"/>
    <w:rsid w:val="00C541CD"/>
    <w:rsid w:val="00C67CA9"/>
    <w:rsid w:val="00CD2361"/>
    <w:rsid w:val="00CD4181"/>
    <w:rsid w:val="00CE1055"/>
    <w:rsid w:val="00CE2EE8"/>
    <w:rsid w:val="00D11DBB"/>
    <w:rsid w:val="00D36462"/>
    <w:rsid w:val="00D445FE"/>
    <w:rsid w:val="00D8178A"/>
    <w:rsid w:val="00D97DBC"/>
    <w:rsid w:val="00DA2D25"/>
    <w:rsid w:val="00DC48A3"/>
    <w:rsid w:val="00DC60C4"/>
    <w:rsid w:val="00DD02FE"/>
    <w:rsid w:val="00DD7ED3"/>
    <w:rsid w:val="00DE4E29"/>
    <w:rsid w:val="00DF2CAD"/>
    <w:rsid w:val="00E027BA"/>
    <w:rsid w:val="00E043AA"/>
    <w:rsid w:val="00E21E75"/>
    <w:rsid w:val="00E828D5"/>
    <w:rsid w:val="00E87CDE"/>
    <w:rsid w:val="00E87EA3"/>
    <w:rsid w:val="00EC6676"/>
    <w:rsid w:val="00ED039E"/>
    <w:rsid w:val="00EF3AD0"/>
    <w:rsid w:val="00EF598A"/>
    <w:rsid w:val="00F624B9"/>
    <w:rsid w:val="00F634B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E1DB"/>
  <w15:chartTrackingRefBased/>
  <w15:docId w15:val="{73EAB3BD-5DCA-4D18-B538-2922B345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CF"/>
    <w:p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CF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10B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0B7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table" w:styleId="TableGrid">
    <w:name w:val="Table Grid"/>
    <w:basedOn w:val="TableNormal"/>
    <w:uiPriority w:val="39"/>
    <w:rsid w:val="00ED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CF"/>
  </w:style>
  <w:style w:type="paragraph" w:styleId="Footer">
    <w:name w:val="footer"/>
    <w:basedOn w:val="Normal"/>
    <w:link w:val="FooterChar"/>
    <w:uiPriority w:val="99"/>
    <w:unhideWhenUsed/>
    <w:rsid w:val="00B0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CF"/>
  </w:style>
  <w:style w:type="paragraph" w:styleId="ListParagraph">
    <w:name w:val="List Paragraph"/>
    <w:basedOn w:val="Normal"/>
    <w:uiPriority w:val="34"/>
    <w:qFormat/>
    <w:rsid w:val="001547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817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8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Navin, Sylvia</dc:creator>
  <cp:keywords/>
  <dc:description/>
  <cp:lastModifiedBy>Navin, Sylvia</cp:lastModifiedBy>
  <cp:revision>4</cp:revision>
  <dcterms:created xsi:type="dcterms:W3CDTF">2021-06-10T17:57:00Z</dcterms:created>
  <dcterms:modified xsi:type="dcterms:W3CDTF">2021-06-10T18:01:00Z</dcterms:modified>
</cp:coreProperties>
</file>