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80" w:rsidRDefault="0080128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801280" w:rsidTr="00801280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103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801280" w:rsidTr="00801280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03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801280" w:rsidRDefault="00801280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0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801280" w:rsidRDefault="00801280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98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801280" w:rsidRDefault="00801280">
            <w:pPr>
              <w:pStyle w:val="TableParagraph"/>
              <w:spacing w:before="0"/>
              <w:rPr>
                <w:rFonts w:ascii="Times New Roman"/>
              </w:rPr>
            </w:pPr>
          </w:p>
          <w:p w:rsidR="00801280" w:rsidRDefault="00801280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2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801280" w:rsidRDefault="00801280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0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801280" w:rsidRDefault="00801280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98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801280" w:rsidRDefault="00801280">
            <w:pPr>
              <w:pStyle w:val="TableParagraph"/>
              <w:spacing w:before="0"/>
              <w:rPr>
                <w:rFonts w:ascii="Times New Roman"/>
              </w:rPr>
            </w:pPr>
          </w:p>
          <w:p w:rsidR="00801280" w:rsidRDefault="00801280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103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801280" w:rsidRDefault="00801280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280" w:rsidTr="00801280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01280" w:rsidRDefault="00801280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801280" w:rsidTr="00801280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E56AB6" w:rsidRDefault="00E56AB6">
      <w:pPr>
        <w:jc w:val="center"/>
        <w:rPr>
          <w:sz w:val="20"/>
        </w:rPr>
        <w:sectPr w:rsidR="00E56AB6">
          <w:headerReference w:type="default" r:id="rId6"/>
          <w:footerReference w:type="default" r:id="rId7"/>
          <w:type w:val="continuous"/>
          <w:pgSz w:w="15840" w:h="12240" w:orient="landscape"/>
          <w:pgMar w:top="2060" w:right="360" w:bottom="1680" w:left="360" w:header="360" w:footer="1487" w:gutter="0"/>
          <w:pgNumType w:start="1"/>
          <w:cols w:space="720"/>
        </w:sectPr>
      </w:pPr>
    </w:p>
    <w:p w:rsidR="00E56AB6" w:rsidRDefault="00E56AB6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801280" w:rsidTr="00801280">
        <w:trPr>
          <w:trHeight w:val="412"/>
          <w:jc w:val="center"/>
        </w:trPr>
        <w:tc>
          <w:tcPr>
            <w:tcW w:w="2299" w:type="dxa"/>
            <w:tcBorders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32.2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22.4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lef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</w:tr>
    </w:tbl>
    <w:p w:rsidR="00E56AB6" w:rsidRDefault="00E56AB6">
      <w:pPr>
        <w:jc w:val="center"/>
        <w:rPr>
          <w:sz w:val="20"/>
        </w:rPr>
        <w:sectPr w:rsidR="00E56AB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E56AB6" w:rsidRDefault="00E56AB6">
      <w:pPr>
        <w:pStyle w:val="BodyText"/>
        <w:spacing w:before="2"/>
        <w:ind w:left="0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50"/>
        <w:gridCol w:w="1801"/>
        <w:gridCol w:w="1801"/>
        <w:gridCol w:w="1796"/>
      </w:tblGrid>
      <w:tr w:rsidR="00801280" w:rsidTr="00801280">
        <w:trPr>
          <w:trHeight w:val="302"/>
          <w:jc w:val="center"/>
        </w:trPr>
        <w:tc>
          <w:tcPr>
            <w:tcW w:w="827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189"/>
              <w:ind w:left="208" w:right="207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801280" w:rsidTr="00801280">
        <w:trPr>
          <w:trHeight w:val="1060"/>
          <w:jc w:val="center"/>
        </w:trPr>
        <w:tc>
          <w:tcPr>
            <w:tcW w:w="287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89"/>
              <w:ind w:left="209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801280" w:rsidRDefault="00801280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801280" w:rsidRDefault="00801280"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89"/>
              <w:ind w:left="209" w:right="2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801280" w:rsidRDefault="00801280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801280" w:rsidRDefault="00801280">
            <w:pPr>
              <w:pStyle w:val="TableParagraph"/>
              <w:spacing w:before="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189"/>
              <w:ind w:left="208" w:right="2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801280" w:rsidRDefault="00801280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801280" w:rsidRDefault="00801280">
            <w:pPr>
              <w:pStyle w:val="TableParagraph"/>
              <w:spacing w:before="0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35.6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47.5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39.7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42.6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39.4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37.7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44.5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44.3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40.2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42.6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39.7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42.6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38.9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42.0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39.4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38.7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42.1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41.4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41.3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40.8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43.9</w:t>
            </w:r>
          </w:p>
        </w:tc>
      </w:tr>
      <w:tr w:rsidR="00801280" w:rsidTr="00801280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42.5</w:t>
            </w:r>
          </w:p>
        </w:tc>
      </w:tr>
      <w:tr w:rsidR="00801280" w:rsidTr="00801280">
        <w:trPr>
          <w:trHeight w:val="294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98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01280" w:rsidRDefault="00801280">
            <w:pPr>
              <w:pStyle w:val="TableParagraph"/>
              <w:ind w:left="696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</w:tr>
      <w:tr w:rsidR="00801280" w:rsidTr="00801280">
        <w:trPr>
          <w:trHeight w:val="402"/>
          <w:jc w:val="center"/>
        </w:trPr>
        <w:tc>
          <w:tcPr>
            <w:tcW w:w="2876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6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38.8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209" w:right="20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6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42.3</w:t>
            </w:r>
          </w:p>
        </w:tc>
      </w:tr>
    </w:tbl>
    <w:p w:rsidR="00E56AB6" w:rsidRDefault="00E56AB6">
      <w:pPr>
        <w:rPr>
          <w:sz w:val="20"/>
        </w:rPr>
        <w:sectPr w:rsidR="00E56AB6">
          <w:headerReference w:type="default" r:id="rId8"/>
          <w:footerReference w:type="default" r:id="rId9"/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E56AB6" w:rsidRDefault="00E56AB6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801280" w:rsidTr="00801280">
        <w:trPr>
          <w:trHeight w:val="412"/>
          <w:jc w:val="center"/>
        </w:trPr>
        <w:tc>
          <w:tcPr>
            <w:tcW w:w="2875" w:type="dxa"/>
            <w:tcBorders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688" w:right="6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31.4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688" w:right="6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19.5</w:t>
            </w:r>
          </w:p>
        </w:tc>
        <w:tc>
          <w:tcPr>
            <w:tcW w:w="1795" w:type="dxa"/>
            <w:tcBorders>
              <w:left w:val="single" w:sz="8" w:space="0" w:color="000000"/>
            </w:tcBorders>
          </w:tcPr>
          <w:p w:rsidR="00801280" w:rsidRDefault="00801280">
            <w:pPr>
              <w:pStyle w:val="TableParagraph"/>
              <w:spacing w:before="89"/>
              <w:ind w:left="688" w:right="6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38.2</w:t>
            </w:r>
          </w:p>
        </w:tc>
      </w:tr>
    </w:tbl>
    <w:p w:rsidR="00E56AB6" w:rsidRDefault="00E56AB6">
      <w:pPr>
        <w:jc w:val="center"/>
        <w:rPr>
          <w:sz w:val="20"/>
        </w:rPr>
        <w:sectPr w:rsidR="00E56AB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E56AB6" w:rsidRDefault="00E56AB6">
      <w:pPr>
        <w:pStyle w:val="BodyText"/>
        <w:spacing w:before="4" w:after="1"/>
        <w:ind w:left="0"/>
        <w:rPr>
          <w:rFonts w:ascii="Times New Roman"/>
          <w:sz w:val="13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854"/>
        <w:gridCol w:w="1257"/>
        <w:gridCol w:w="1087"/>
        <w:gridCol w:w="910"/>
        <w:gridCol w:w="1202"/>
        <w:gridCol w:w="1040"/>
        <w:gridCol w:w="1143"/>
        <w:gridCol w:w="854"/>
        <w:gridCol w:w="1229"/>
        <w:gridCol w:w="1115"/>
        <w:gridCol w:w="2098"/>
      </w:tblGrid>
      <w:tr w:rsidR="00E56AB6">
        <w:trPr>
          <w:trHeight w:val="340"/>
        </w:trPr>
        <w:tc>
          <w:tcPr>
            <w:tcW w:w="14801" w:type="dxa"/>
            <w:gridSpan w:val="13"/>
            <w:tcBorders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5443"/>
              </w:tabs>
              <w:spacing w:before="21"/>
              <w:ind w:left="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E56AB6">
        <w:trPr>
          <w:trHeight w:val="844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0"/>
              <w:ind w:left="894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0"/>
              <w:ind w:left="2679" w:right="2678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spacing w:before="197" w:line="232" w:lineRule="auto"/>
              <w:ind w:left="369" w:right="369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E56AB6">
        <w:trPr>
          <w:trHeight w:val="570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3"/>
              <w:ind w:left="550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right="2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325" w:right="226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229" w:right="180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left="282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564" w:right="281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</w:tr>
      <w:tr w:rsidR="00E56AB6">
        <w:trPr>
          <w:trHeight w:val="728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9"/>
                <w:tab w:val="left" w:pos="2564"/>
              </w:tabs>
              <w:spacing w:before="23"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316"/>
              </w:tabs>
              <w:spacing w:before="0" w:line="201" w:lineRule="exact"/>
              <w:ind w:left="1222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E56AB6" w:rsidRDefault="009F6C48">
            <w:pPr>
              <w:pStyle w:val="TableParagraph"/>
              <w:tabs>
                <w:tab w:val="left" w:pos="2404"/>
              </w:tabs>
              <w:spacing w:before="0" w:line="181" w:lineRule="exact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8"/>
                <w:tab w:val="left" w:pos="2563"/>
                <w:tab w:val="left" w:pos="3657"/>
              </w:tabs>
              <w:spacing w:before="23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403"/>
                <w:tab w:val="left" w:pos="3497"/>
              </w:tabs>
              <w:spacing w:before="175"/>
              <w:ind w:left="130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4"/>
                <w:tab w:val="left" w:pos="2634"/>
              </w:tabs>
              <w:spacing w:before="23" w:line="204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1284"/>
              </w:tabs>
              <w:spacing w:before="0" w:line="201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E56AB6" w:rsidRDefault="009F6C48">
            <w:pPr>
              <w:pStyle w:val="TableParagraph"/>
              <w:tabs>
                <w:tab w:val="left" w:pos="1094"/>
              </w:tabs>
              <w:spacing w:before="0" w:line="181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3"/>
              </w:tabs>
              <w:spacing w:before="23"/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spacing w:before="175"/>
              <w:ind w:left="130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78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6.2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2"/>
              </w:tabs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8.5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45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2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83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5.3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2.8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7.9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5.2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2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6.4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4"/>
              </w:tabs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2"/>
              </w:tabs>
              <w:spacing w:before="23"/>
              <w:ind w:left="59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(15)</w:t>
            </w:r>
          </w:p>
        </w:tc>
      </w:tr>
    </w:tbl>
    <w:p w:rsidR="00E56AB6" w:rsidRDefault="00E56AB6">
      <w:pPr>
        <w:rPr>
          <w:sz w:val="20"/>
        </w:rPr>
        <w:sectPr w:rsidR="00E56AB6">
          <w:headerReference w:type="default" r:id="rId10"/>
          <w:footerReference w:type="default" r:id="rId11"/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E56AB6" w:rsidRDefault="00E56AB6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965"/>
        <w:gridCol w:w="1118"/>
        <w:gridCol w:w="1115"/>
        <w:gridCol w:w="965"/>
        <w:gridCol w:w="1146"/>
        <w:gridCol w:w="1039"/>
        <w:gridCol w:w="1142"/>
        <w:gridCol w:w="965"/>
        <w:gridCol w:w="1118"/>
        <w:gridCol w:w="1115"/>
        <w:gridCol w:w="2098"/>
      </w:tblGrid>
      <w:tr w:rsidR="00E56AB6" w:rsidTr="00801280">
        <w:trPr>
          <w:trHeight w:val="340"/>
        </w:trPr>
        <w:tc>
          <w:tcPr>
            <w:tcW w:w="14798" w:type="dxa"/>
            <w:gridSpan w:val="13"/>
            <w:tcBorders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5446"/>
              </w:tabs>
              <w:spacing w:before="22"/>
              <w:ind w:left="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E56AB6" w:rsidTr="00801280">
        <w:trPr>
          <w:trHeight w:val="843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1"/>
              <w:ind w:left="894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1"/>
              <w:ind w:left="2679" w:right="2675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E56AB6" w:rsidRDefault="009F6C48">
            <w:pPr>
              <w:pStyle w:val="TableParagraph"/>
              <w:spacing w:before="0" w:line="232" w:lineRule="auto"/>
              <w:ind w:left="372" w:right="366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E56AB6" w:rsidTr="00801280">
        <w:trPr>
          <w:trHeight w:val="570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ind w:left="439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361" w:right="2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270" w:right="22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230" w:right="178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287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567" w:right="278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</w:tr>
      <w:tr w:rsidR="00E56AB6" w:rsidTr="00801280">
        <w:trPr>
          <w:trHeight w:val="728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9"/>
                <w:tab w:val="left" w:pos="2564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316"/>
              </w:tabs>
              <w:spacing w:before="0" w:line="201" w:lineRule="exact"/>
              <w:ind w:left="1222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E56AB6" w:rsidRDefault="009F6C48">
            <w:pPr>
              <w:pStyle w:val="TableParagraph"/>
              <w:tabs>
                <w:tab w:val="left" w:pos="2404"/>
              </w:tabs>
              <w:spacing w:before="0" w:line="181" w:lineRule="exact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8"/>
                <w:tab w:val="left" w:pos="2563"/>
                <w:tab w:val="left" w:pos="3657"/>
              </w:tabs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403"/>
                <w:tab w:val="left" w:pos="3497"/>
              </w:tabs>
              <w:spacing w:before="175"/>
              <w:ind w:left="130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7"/>
                <w:tab w:val="left" w:pos="2637"/>
              </w:tabs>
              <w:spacing w:line="204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1284"/>
              </w:tabs>
              <w:spacing w:before="0" w:line="201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E56AB6" w:rsidRDefault="009F6C48">
            <w:pPr>
              <w:pStyle w:val="TableParagraph"/>
              <w:tabs>
                <w:tab w:val="left" w:pos="1094"/>
              </w:tabs>
              <w:spacing w:before="0" w:line="181" w:lineRule="exact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6"/>
              </w:tabs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spacing w:before="175"/>
              <w:ind w:left="130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5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5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1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48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237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2.3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5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5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125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801280" w:rsidTr="00801280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23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3"/>
              <w:ind w:left="148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01280" w:rsidRDefault="00801280">
            <w:pPr>
              <w:pStyle w:val="TableParagraph"/>
              <w:tabs>
                <w:tab w:val="left" w:pos="1125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801280" w:rsidTr="00801280">
        <w:trPr>
          <w:trHeight w:val="401"/>
        </w:trPr>
        <w:tc>
          <w:tcPr>
            <w:tcW w:w="2012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385" w:right="3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9.7</w:t>
            </w:r>
          </w:p>
        </w:tc>
        <w:tc>
          <w:tcPr>
            <w:tcW w:w="111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325" w:right="2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441" w:right="40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8.6</w:t>
            </w:r>
          </w:p>
        </w:tc>
        <w:tc>
          <w:tcPr>
            <w:tcW w:w="103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390" w:right="3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1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286" w:right="2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14.0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78"/>
              <w:ind w:left="385" w:right="3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17.0</w:t>
            </w:r>
          </w:p>
        </w:tc>
        <w:tc>
          <w:tcPr>
            <w:tcW w:w="111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78"/>
              <w:ind w:left="320" w:right="2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351"/>
              </w:tabs>
              <w:spacing w:before="7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10.2</w:t>
            </w:r>
          </w:p>
        </w:tc>
      </w:tr>
      <w:tr w:rsidR="00801280" w:rsidTr="00801280">
        <w:trPr>
          <w:trHeight w:val="506"/>
        </w:trPr>
        <w:tc>
          <w:tcPr>
            <w:tcW w:w="201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29" w:line="232" w:lineRule="auto"/>
              <w:ind w:left="102" w:right="511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161,649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3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36"/>
              <w:ind w:left="325" w:right="2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480,114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3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11.4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390" w:right="34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4.6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36"/>
              <w:ind w:left="286" w:right="2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12.8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198,281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right w:val="nil"/>
            </w:tcBorders>
          </w:tcPr>
          <w:p w:rsidR="00801280" w:rsidRDefault="00801280">
            <w:pPr>
              <w:pStyle w:val="TableParagraph"/>
              <w:spacing w:before="136"/>
              <w:ind w:left="385" w:right="3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15.8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01280" w:rsidRDefault="00801280">
            <w:pPr>
              <w:pStyle w:val="TableParagraph"/>
              <w:spacing w:before="136"/>
              <w:ind w:left="320" w:right="2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801280" w:rsidRDefault="00801280">
            <w:pPr>
              <w:pStyle w:val="TableParagraph"/>
              <w:tabs>
                <w:tab w:val="left" w:pos="1351"/>
              </w:tabs>
              <w:spacing w:before="136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142,442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17.6</w:t>
            </w:r>
          </w:p>
        </w:tc>
      </w:tr>
    </w:tbl>
    <w:p w:rsidR="00E56AB6" w:rsidRDefault="00E56AB6">
      <w:pPr>
        <w:rPr>
          <w:sz w:val="20"/>
        </w:rPr>
        <w:sectPr w:rsidR="00E56AB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E56AB6" w:rsidRDefault="00E56AB6">
      <w:pPr>
        <w:pStyle w:val="BodyText"/>
        <w:spacing w:before="2"/>
        <w:ind w:left="0"/>
        <w:rPr>
          <w:rFonts w:ascii="Times New Roman"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761"/>
        <w:gridCol w:w="1084"/>
        <w:gridCol w:w="1844"/>
        <w:gridCol w:w="1844"/>
        <w:gridCol w:w="1844"/>
        <w:gridCol w:w="1844"/>
        <w:gridCol w:w="761"/>
        <w:gridCol w:w="1084"/>
        <w:gridCol w:w="761"/>
        <w:gridCol w:w="1079"/>
      </w:tblGrid>
      <w:tr w:rsidR="00E56AB6">
        <w:trPr>
          <w:trHeight w:val="340"/>
        </w:trPr>
        <w:tc>
          <w:tcPr>
            <w:tcW w:w="826" w:type="dxa"/>
            <w:tcBorders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60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96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4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56AB6">
        <w:trPr>
          <w:trHeight w:val="771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5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2197" w:right="2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2195" w:right="2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865" w:right="8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865" w:right="8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94" w:line="232" w:lineRule="auto"/>
              <w:ind w:left="377" w:right="37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E56AB6" w:rsidRDefault="009F6C48">
            <w:pPr>
              <w:pStyle w:val="TableParagraph"/>
              <w:spacing w:before="0" w:line="232" w:lineRule="auto"/>
              <w:ind w:left="478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E56AB6">
        <w:trPr>
          <w:trHeight w:val="1636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2"/>
              </w:tabs>
              <w:spacing w:before="28" w:line="232" w:lineRule="auto"/>
              <w:ind w:left="1176" w:right="276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E56AB6" w:rsidRDefault="009F6C48">
            <w:pPr>
              <w:pStyle w:val="TableParagraph"/>
              <w:spacing w:before="0" w:line="201" w:lineRule="exact"/>
              <w:ind w:left="977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135"/>
              <w:ind w:left="112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8" w:line="232" w:lineRule="auto"/>
              <w:ind w:left="975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8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8" w:line="232" w:lineRule="auto"/>
              <w:ind w:left="974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E56AB6" w:rsidRDefault="009F6C48">
            <w:pPr>
              <w:pStyle w:val="TableParagraph"/>
              <w:spacing w:before="0" w:line="197" w:lineRule="exact"/>
              <w:ind w:left="1047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9"/>
              </w:tabs>
              <w:spacing w:before="28" w:line="232" w:lineRule="auto"/>
              <w:ind w:left="974" w:right="77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5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E56AB6" w:rsidRDefault="009F6C48">
            <w:pPr>
              <w:pStyle w:val="TableParagraph"/>
              <w:spacing w:before="0" w:line="197" w:lineRule="exact"/>
              <w:ind w:left="1046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8"/>
              </w:tabs>
              <w:spacing w:before="28" w:line="232" w:lineRule="auto"/>
              <w:ind w:left="973" w:right="78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3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4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6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7"/>
              </w:tabs>
              <w:spacing w:before="23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1"/>
              <w:ind w:left="1117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5"/>
              </w:tabs>
              <w:spacing w:before="23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1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77.1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94.6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96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18.4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87.2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3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14.4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90.1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24.5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12.1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73.4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39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79.4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96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24.8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21.0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31.9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23.2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23.4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90.2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24.5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25.2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91.1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183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20.5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3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80.1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20.7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D25622" w:rsidRDefault="00D25622">
            <w:pPr>
              <w:pStyle w:val="TableParagraph"/>
              <w:spacing w:before="23"/>
              <w:ind w:left="183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(20)</w:t>
            </w:r>
          </w:p>
        </w:tc>
      </w:tr>
    </w:tbl>
    <w:p w:rsidR="00E56AB6" w:rsidRDefault="00E56AB6">
      <w:pPr>
        <w:rPr>
          <w:sz w:val="20"/>
        </w:rPr>
        <w:sectPr w:rsidR="00E56AB6">
          <w:headerReference w:type="default" r:id="rId12"/>
          <w:footerReference w:type="default" r:id="rId13"/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E56AB6" w:rsidRDefault="00E56AB6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872"/>
        <w:gridCol w:w="973"/>
        <w:gridCol w:w="1844"/>
        <w:gridCol w:w="1844"/>
        <w:gridCol w:w="1844"/>
        <w:gridCol w:w="1844"/>
        <w:gridCol w:w="872"/>
        <w:gridCol w:w="973"/>
        <w:gridCol w:w="900"/>
        <w:gridCol w:w="940"/>
      </w:tblGrid>
      <w:tr w:rsidR="00E56AB6" w:rsidTr="00D25622">
        <w:trPr>
          <w:trHeight w:val="340"/>
        </w:trPr>
        <w:tc>
          <w:tcPr>
            <w:tcW w:w="826" w:type="dxa"/>
            <w:tcBorders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9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2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872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97"/>
              <w:ind w:left="163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973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tcBorders>
              <w:left w:val="nil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56AB6" w:rsidTr="00D25622">
        <w:trPr>
          <w:trHeight w:val="772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5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2197" w:right="2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2195" w:right="2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865" w:right="8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865" w:right="8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95" w:line="232" w:lineRule="auto"/>
              <w:ind w:left="377" w:right="37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32" w:lineRule="auto"/>
              <w:ind w:left="478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E56AB6" w:rsidTr="00D25622">
        <w:trPr>
          <w:trHeight w:val="1635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2"/>
              </w:tabs>
              <w:spacing w:before="29" w:line="232" w:lineRule="auto"/>
              <w:ind w:left="1176" w:right="276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E56AB6" w:rsidRDefault="009F6C48">
            <w:pPr>
              <w:pStyle w:val="TableParagraph"/>
              <w:spacing w:before="0" w:line="201" w:lineRule="exact"/>
              <w:ind w:left="977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135"/>
              <w:ind w:left="112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8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9" w:line="232" w:lineRule="auto"/>
              <w:ind w:left="974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E56AB6" w:rsidRDefault="009F6C48">
            <w:pPr>
              <w:pStyle w:val="TableParagraph"/>
              <w:spacing w:before="0" w:line="197" w:lineRule="exact"/>
              <w:ind w:left="1047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9"/>
              </w:tabs>
              <w:spacing w:before="29" w:line="232" w:lineRule="auto"/>
              <w:ind w:left="974" w:right="77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5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E56AB6" w:rsidRDefault="009F6C48">
            <w:pPr>
              <w:pStyle w:val="TableParagraph"/>
              <w:spacing w:before="0" w:line="197" w:lineRule="exact"/>
              <w:ind w:left="1046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8"/>
              </w:tabs>
              <w:spacing w:before="29" w:line="232" w:lineRule="auto"/>
              <w:ind w:left="973" w:right="78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3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4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6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7"/>
              </w:tabs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0"/>
              <w:ind w:left="1117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5"/>
              </w:tabs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0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 xml:space="preserve">87.9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19.5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100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41.2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16.3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9.3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78.8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73.5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049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68.3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D25622" w:rsidTr="00D2562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38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z w:val="20"/>
              </w:rPr>
              <w:t xml:space="preserve">71.6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23"/>
              <w:ind w:left="59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D25622" w:rsidRDefault="00D25622">
            <w:pPr>
              <w:pStyle w:val="TableParagraph"/>
              <w:spacing w:before="23"/>
              <w:ind w:left="100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D25622" w:rsidTr="00D25622">
        <w:trPr>
          <w:trHeight w:val="401"/>
        </w:trPr>
        <w:tc>
          <w:tcPr>
            <w:tcW w:w="2012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97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78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72.0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45"/>
              </w:tabs>
              <w:spacing w:before="78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44"/>
              </w:tabs>
              <w:spacing w:before="78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17.8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43"/>
              </w:tabs>
              <w:spacing w:before="7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99"/>
              </w:tabs>
              <w:spacing w:before="78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78"/>
              <w:ind w:left="60"/>
              <w:rPr>
                <w:b/>
                <w:sz w:val="20"/>
              </w:rPr>
            </w:pPr>
          </w:p>
        </w:tc>
        <w:tc>
          <w:tcPr>
            <w:tcW w:w="97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78"/>
              <w:ind w:left="269" w:right="2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81.1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78"/>
              <w:ind w:left="59"/>
              <w:rPr>
                <w:b/>
                <w:sz w:val="20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D25622" w:rsidRDefault="00D25622">
            <w:pPr>
              <w:pStyle w:val="TableParagraph"/>
              <w:spacing w:before="78"/>
              <w:ind w:left="293" w:right="3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</w:tr>
      <w:tr w:rsidR="00D25622" w:rsidTr="00D25622">
        <w:trPr>
          <w:trHeight w:val="506"/>
        </w:trPr>
        <w:tc>
          <w:tcPr>
            <w:tcW w:w="201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29" w:line="232" w:lineRule="auto"/>
              <w:ind w:left="103" w:right="510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136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164,044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136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66.5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45"/>
              </w:tabs>
              <w:spacing w:before="136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77,118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44"/>
              </w:tabs>
              <w:spacing w:before="136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91,631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13.7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43"/>
              </w:tabs>
              <w:spacing w:before="136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58,679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5622" w:rsidRDefault="00D25622">
            <w:pPr>
              <w:pStyle w:val="TableParagraph"/>
              <w:tabs>
                <w:tab w:val="left" w:pos="1199"/>
              </w:tabs>
              <w:spacing w:before="136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69,944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7.3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136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209,343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25622" w:rsidRDefault="00D25622">
            <w:pPr>
              <w:pStyle w:val="TableParagraph"/>
              <w:spacing w:before="136"/>
              <w:ind w:left="269" w:right="2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78.1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25622" w:rsidRDefault="00D25622">
            <w:pPr>
              <w:pStyle w:val="TableParagraph"/>
              <w:spacing w:before="136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693,596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</w:tcBorders>
          </w:tcPr>
          <w:p w:rsidR="00D25622" w:rsidRDefault="00D25622">
            <w:pPr>
              <w:pStyle w:val="TableParagraph"/>
              <w:spacing w:before="136"/>
              <w:ind w:left="293" w:right="3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3.5</w:t>
            </w:r>
          </w:p>
        </w:tc>
      </w:tr>
    </w:tbl>
    <w:p w:rsidR="00E56AB6" w:rsidRDefault="00E56AB6">
      <w:pPr>
        <w:jc w:val="center"/>
        <w:rPr>
          <w:sz w:val="20"/>
        </w:rPr>
        <w:sectPr w:rsidR="00E56AB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E56AB6" w:rsidRDefault="00E56AB6">
      <w:pPr>
        <w:pStyle w:val="BodyText"/>
        <w:spacing w:before="2"/>
        <w:ind w:left="0"/>
        <w:rPr>
          <w:rFonts w:ascii="Times New Roman"/>
          <w:sz w:val="1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854"/>
        <w:gridCol w:w="1257"/>
        <w:gridCol w:w="1087"/>
        <w:gridCol w:w="910"/>
        <w:gridCol w:w="1202"/>
        <w:gridCol w:w="1040"/>
        <w:gridCol w:w="1143"/>
        <w:gridCol w:w="910"/>
        <w:gridCol w:w="1174"/>
        <w:gridCol w:w="1116"/>
        <w:gridCol w:w="2099"/>
      </w:tblGrid>
      <w:tr w:rsidR="00E56AB6">
        <w:trPr>
          <w:trHeight w:val="340"/>
        </w:trPr>
        <w:tc>
          <w:tcPr>
            <w:tcW w:w="14804" w:type="dxa"/>
            <w:gridSpan w:val="13"/>
            <w:tcBorders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5440"/>
              </w:tabs>
              <w:spacing w:before="2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E56AB6">
        <w:trPr>
          <w:trHeight w:val="700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0"/>
              <w:ind w:left="894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0"/>
              <w:ind w:left="2680" w:right="268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spacing w:before="125" w:line="232" w:lineRule="auto"/>
              <w:ind w:left="367" w:right="372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E56AB6">
        <w:trPr>
          <w:trHeight w:val="570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3"/>
              <w:ind w:left="550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right="29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325" w:right="226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229" w:right="180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left="282" w:righ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564" w:right="28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</w:tr>
      <w:tr w:rsidR="00E56AB6">
        <w:trPr>
          <w:trHeight w:val="728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9"/>
                <w:tab w:val="left" w:pos="2564"/>
              </w:tabs>
              <w:spacing w:before="23"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316"/>
              </w:tabs>
              <w:spacing w:before="0" w:line="201" w:lineRule="exact"/>
              <w:ind w:left="1222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E56AB6" w:rsidRDefault="009F6C48">
            <w:pPr>
              <w:pStyle w:val="TableParagraph"/>
              <w:tabs>
                <w:tab w:val="left" w:pos="2404"/>
              </w:tabs>
              <w:spacing w:before="0" w:line="181" w:lineRule="exact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8"/>
                <w:tab w:val="left" w:pos="2563"/>
                <w:tab w:val="left" w:pos="3657"/>
              </w:tabs>
              <w:spacing w:before="23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403"/>
                <w:tab w:val="left" w:pos="3497"/>
              </w:tabs>
              <w:spacing w:before="175"/>
              <w:ind w:left="130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4"/>
                <w:tab w:val="left" w:pos="2634"/>
              </w:tabs>
              <w:spacing w:before="23" w:line="204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1284"/>
              </w:tabs>
              <w:spacing w:before="0" w:line="201" w:lineRule="exact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E56AB6" w:rsidRDefault="009F6C48">
            <w:pPr>
              <w:pStyle w:val="TableParagraph"/>
              <w:tabs>
                <w:tab w:val="left" w:pos="1094"/>
              </w:tabs>
              <w:spacing w:before="0" w:line="181" w:lineRule="exact"/>
              <w:ind w:right="2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1"/>
              </w:tabs>
              <w:spacing w:before="23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spacing w:before="175"/>
              <w:ind w:left="130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3.6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15.2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11.3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13.9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9.3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6.3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83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5.5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10.2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32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6.3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3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79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44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20"/>
              </w:tabs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(16)</w:t>
            </w:r>
          </w:p>
        </w:tc>
      </w:tr>
    </w:tbl>
    <w:p w:rsidR="00E56AB6" w:rsidRDefault="00E56AB6">
      <w:pPr>
        <w:rPr>
          <w:sz w:val="20"/>
        </w:rPr>
        <w:sectPr w:rsidR="00E56AB6">
          <w:headerReference w:type="default" r:id="rId14"/>
          <w:footerReference w:type="default" r:id="rId15"/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E56AB6" w:rsidRDefault="00E56AB6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910"/>
        <w:gridCol w:w="1174"/>
        <w:gridCol w:w="1116"/>
        <w:gridCol w:w="966"/>
        <w:gridCol w:w="1147"/>
        <w:gridCol w:w="1040"/>
        <w:gridCol w:w="1143"/>
        <w:gridCol w:w="910"/>
        <w:gridCol w:w="1174"/>
        <w:gridCol w:w="1116"/>
        <w:gridCol w:w="2099"/>
      </w:tblGrid>
      <w:tr w:rsidR="00E56AB6">
        <w:trPr>
          <w:trHeight w:val="340"/>
        </w:trPr>
        <w:tc>
          <w:tcPr>
            <w:tcW w:w="14807" w:type="dxa"/>
            <w:gridSpan w:val="13"/>
            <w:tcBorders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5440"/>
              </w:tabs>
              <w:spacing w:before="22"/>
              <w:ind w:right="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E56AB6">
        <w:trPr>
          <w:trHeight w:val="700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1"/>
              <w:ind w:left="894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1"/>
              <w:ind w:left="2679" w:right="2682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spacing w:before="126" w:line="232" w:lineRule="auto"/>
              <w:ind w:left="364" w:right="375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E56AB6">
        <w:trPr>
          <w:trHeight w:val="570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ind w:left="434" w:right="2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354" w:right="2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267" w:right="229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226" w:right="183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279" w:right="2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9" w:line="232" w:lineRule="auto"/>
              <w:ind w:left="561" w:right="28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</w:tr>
      <w:tr w:rsidR="00E56AB6">
        <w:trPr>
          <w:trHeight w:val="728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9"/>
                <w:tab w:val="left" w:pos="2564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316"/>
              </w:tabs>
              <w:spacing w:before="0" w:line="201" w:lineRule="exact"/>
              <w:ind w:left="1222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E56AB6" w:rsidRDefault="009F6C48">
            <w:pPr>
              <w:pStyle w:val="TableParagraph"/>
              <w:tabs>
                <w:tab w:val="left" w:pos="2404"/>
              </w:tabs>
              <w:spacing w:before="0" w:line="181" w:lineRule="exact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6"/>
                <w:tab w:val="left" w:pos="2561"/>
                <w:tab w:val="left" w:pos="3655"/>
              </w:tabs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2401"/>
                <w:tab w:val="left" w:pos="3495"/>
              </w:tabs>
              <w:spacing w:before="175"/>
              <w:ind w:left="130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61"/>
                <w:tab w:val="left" w:pos="2631"/>
              </w:tabs>
              <w:spacing w:line="204" w:lineRule="exact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tabs>
                <w:tab w:val="left" w:pos="1284"/>
              </w:tabs>
              <w:spacing w:before="0" w:line="201" w:lineRule="exact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E56AB6" w:rsidRDefault="009F6C48">
            <w:pPr>
              <w:pStyle w:val="TableParagraph"/>
              <w:tabs>
                <w:tab w:val="left" w:pos="1094"/>
              </w:tabs>
              <w:spacing w:before="0" w:line="181" w:lineRule="exact"/>
              <w:ind w:right="3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458"/>
              </w:tabs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9F6C48">
            <w:pPr>
              <w:pStyle w:val="TableParagraph"/>
              <w:spacing w:before="175"/>
              <w:ind w:left="129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29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229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ab/>
              <w:t xml:space="preserve">3.2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173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23"/>
              <w:ind w:left="276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23"/>
              <w:ind w:left="197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17"/>
              </w:tabs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17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117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ab/>
              <w:t xml:space="preserve">12.6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1A507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1A5072" w:rsidRDefault="001A5072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1A5072" w:rsidRDefault="001A5072">
            <w:pPr>
              <w:pStyle w:val="TableParagraph"/>
              <w:tabs>
                <w:tab w:val="left" w:pos="1117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1A5072">
        <w:trPr>
          <w:trHeight w:val="401"/>
        </w:trPr>
        <w:tc>
          <w:tcPr>
            <w:tcW w:w="2012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174" w:type="dxa"/>
            <w:tcBorders>
              <w:top w:val="single" w:sz="12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425" w:right="30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9.8</w:t>
            </w:r>
          </w:p>
        </w:tc>
        <w:tc>
          <w:tcPr>
            <w:tcW w:w="1116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78"/>
              <w:ind w:left="324" w:right="2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7.5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62"/>
              <w:rPr>
                <w:b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438" w:right="4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8.9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386" w:right="3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143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78"/>
              <w:ind w:left="278" w:right="2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14.2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58"/>
              <w:rPr>
                <w:b/>
                <w:sz w:val="20"/>
              </w:rPr>
            </w:pPr>
          </w:p>
        </w:tc>
        <w:tc>
          <w:tcPr>
            <w:tcW w:w="1174" w:type="dxa"/>
            <w:tcBorders>
              <w:top w:val="single" w:sz="12" w:space="0" w:color="000000"/>
              <w:left w:val="nil"/>
              <w:right w:val="nil"/>
            </w:tcBorders>
          </w:tcPr>
          <w:p w:rsidR="001A5072" w:rsidRDefault="001A5072">
            <w:pPr>
              <w:pStyle w:val="TableParagraph"/>
              <w:spacing w:before="78"/>
              <w:ind w:left="408" w:right="30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17.1</w:t>
            </w:r>
          </w:p>
        </w:tc>
        <w:tc>
          <w:tcPr>
            <w:tcW w:w="1116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1A5072" w:rsidRDefault="001A5072">
            <w:pPr>
              <w:pStyle w:val="TableParagraph"/>
              <w:spacing w:before="78"/>
              <w:ind w:left="307" w:right="29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17.4</w:t>
            </w:r>
          </w:p>
        </w:tc>
        <w:tc>
          <w:tcPr>
            <w:tcW w:w="2099" w:type="dxa"/>
            <w:tcBorders>
              <w:top w:val="single" w:sz="12" w:space="0" w:color="000000"/>
              <w:left w:val="single" w:sz="8" w:space="0" w:color="000000"/>
            </w:tcBorders>
          </w:tcPr>
          <w:p w:rsidR="001A5072" w:rsidRDefault="001A5072">
            <w:pPr>
              <w:pStyle w:val="TableParagraph"/>
              <w:tabs>
                <w:tab w:val="left" w:pos="1343"/>
              </w:tabs>
              <w:spacing w:before="7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10.4</w:t>
            </w:r>
          </w:p>
        </w:tc>
      </w:tr>
    </w:tbl>
    <w:p w:rsidR="00E56AB6" w:rsidRDefault="00E56AB6">
      <w:pPr>
        <w:rPr>
          <w:sz w:val="20"/>
        </w:rPr>
        <w:sectPr w:rsidR="00E56AB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E56AB6" w:rsidRDefault="00E56AB6">
      <w:pPr>
        <w:pStyle w:val="BodyText"/>
        <w:ind w:left="0"/>
        <w:rPr>
          <w:rFonts w:ascii="Times New Roman"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761"/>
        <w:gridCol w:w="1084"/>
        <w:gridCol w:w="1844"/>
        <w:gridCol w:w="1844"/>
        <w:gridCol w:w="1844"/>
        <w:gridCol w:w="1844"/>
        <w:gridCol w:w="761"/>
        <w:gridCol w:w="1084"/>
        <w:gridCol w:w="816"/>
        <w:gridCol w:w="1023"/>
      </w:tblGrid>
      <w:tr w:rsidR="00E56AB6">
        <w:trPr>
          <w:trHeight w:val="340"/>
        </w:trPr>
        <w:tc>
          <w:tcPr>
            <w:tcW w:w="826" w:type="dxa"/>
            <w:tcBorders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60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96"/>
              <w:ind w:left="154" w:right="2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4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left w:val="nil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56AB6">
        <w:trPr>
          <w:trHeight w:val="772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2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55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2197" w:right="2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2195" w:right="2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865" w:right="8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865" w:right="8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94" w:line="232" w:lineRule="auto"/>
              <w:ind w:left="377" w:right="37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E56AB6" w:rsidRDefault="009F6C48">
            <w:pPr>
              <w:pStyle w:val="TableParagraph"/>
              <w:spacing w:before="0" w:line="232" w:lineRule="auto"/>
              <w:ind w:left="478" w:right="75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E56AB6">
        <w:trPr>
          <w:trHeight w:val="1635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2"/>
              </w:tabs>
              <w:spacing w:before="28" w:line="232" w:lineRule="auto"/>
              <w:ind w:left="1176" w:right="276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E56AB6" w:rsidRDefault="009F6C48">
            <w:pPr>
              <w:pStyle w:val="TableParagraph"/>
              <w:spacing w:before="0" w:line="201" w:lineRule="exact"/>
              <w:ind w:left="977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135"/>
              <w:ind w:left="112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8" w:line="232" w:lineRule="auto"/>
              <w:ind w:left="975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8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8" w:line="232" w:lineRule="auto"/>
              <w:ind w:left="974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E56AB6" w:rsidRDefault="009F6C48">
            <w:pPr>
              <w:pStyle w:val="TableParagraph"/>
              <w:spacing w:before="0" w:line="197" w:lineRule="exact"/>
              <w:ind w:left="1047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9"/>
              </w:tabs>
              <w:spacing w:before="28" w:line="232" w:lineRule="auto"/>
              <w:ind w:left="974" w:right="77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5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E56AB6" w:rsidRDefault="009F6C48">
            <w:pPr>
              <w:pStyle w:val="TableParagraph"/>
              <w:spacing w:before="0" w:line="197" w:lineRule="exact"/>
              <w:ind w:left="1046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8"/>
              </w:tabs>
              <w:spacing w:before="28" w:line="232" w:lineRule="auto"/>
              <w:ind w:left="973" w:right="78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3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4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6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7"/>
              </w:tabs>
              <w:spacing w:before="23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1"/>
              <w:ind w:left="1117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5"/>
              </w:tabs>
              <w:spacing w:before="23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1"/>
              <w:ind w:left="111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11.6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89.3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4" w:right="11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19.6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85.2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84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84.7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4" w:right="11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20.1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14.6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92.2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11.7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84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7.0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19.7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23.4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10.2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84.0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21.8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049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89.7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20.1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10.0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87.7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28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20.1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>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75.1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4" w:right="11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84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4.5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8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18.4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3"/>
              </w:tabs>
              <w:ind w:left="61"/>
              <w:rPr>
                <w:sz w:val="20"/>
              </w:rPr>
            </w:pPr>
            <w:r>
              <w:rPr>
                <w:sz w:val="20"/>
              </w:rPr>
              <w:tab/>
              <w:t>7.3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75.8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20.4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049"/>
              </w:tabs>
              <w:spacing w:before="23"/>
              <w:ind w:left="61"/>
              <w:rPr>
                <w:sz w:val="20"/>
              </w:rPr>
            </w:pPr>
            <w:r>
              <w:rPr>
                <w:sz w:val="20"/>
              </w:rPr>
              <w:tab/>
              <w:t xml:space="preserve">8.2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7" w:right="173"/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2" w:right="227"/>
              <w:jc w:val="center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</w:tcBorders>
          </w:tcPr>
          <w:p w:rsidR="00823EE9" w:rsidRDefault="00823EE9">
            <w:pPr>
              <w:pStyle w:val="TableParagraph"/>
              <w:spacing w:before="23"/>
              <w:ind w:left="128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(19)</w:t>
            </w:r>
          </w:p>
        </w:tc>
      </w:tr>
    </w:tbl>
    <w:p w:rsidR="00E56AB6" w:rsidRDefault="00E56AB6">
      <w:pPr>
        <w:rPr>
          <w:sz w:val="20"/>
        </w:rPr>
        <w:sectPr w:rsidR="00E56AB6">
          <w:headerReference w:type="default" r:id="rId16"/>
          <w:footerReference w:type="default" r:id="rId17"/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E56AB6" w:rsidRDefault="00E56AB6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6"/>
        <w:gridCol w:w="816"/>
        <w:gridCol w:w="1028"/>
        <w:gridCol w:w="1844"/>
        <w:gridCol w:w="1844"/>
        <w:gridCol w:w="1844"/>
        <w:gridCol w:w="1844"/>
        <w:gridCol w:w="816"/>
        <w:gridCol w:w="1028"/>
        <w:gridCol w:w="900"/>
        <w:gridCol w:w="940"/>
      </w:tblGrid>
      <w:tr w:rsidR="00E56AB6">
        <w:trPr>
          <w:trHeight w:val="340"/>
        </w:trPr>
        <w:tc>
          <w:tcPr>
            <w:tcW w:w="826" w:type="dxa"/>
            <w:tcBorders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04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22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816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9F6C48">
            <w:pPr>
              <w:pStyle w:val="TableParagraph"/>
              <w:spacing w:before="97"/>
              <w:ind w:left="155" w:right="3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28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nil"/>
              <w:bottom w:val="single" w:sz="8" w:space="0" w:color="000000"/>
              <w:right w:val="nil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tcBorders>
              <w:left w:val="nil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56AB6">
        <w:trPr>
          <w:trHeight w:val="772"/>
        </w:trPr>
        <w:tc>
          <w:tcPr>
            <w:tcW w:w="201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2197" w:right="2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2195" w:right="2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04" w:lineRule="exact"/>
              <w:ind w:left="866" w:right="8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E56AB6" w:rsidRDefault="009F6C48">
            <w:pPr>
              <w:pStyle w:val="TableParagraph"/>
              <w:spacing w:before="0" w:line="181" w:lineRule="exact"/>
              <w:ind w:left="866" w:right="8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spacing w:before="95" w:line="232" w:lineRule="auto"/>
              <w:ind w:left="378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E56AB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E56AB6" w:rsidRDefault="009F6C48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E56AB6">
        <w:trPr>
          <w:trHeight w:val="1636"/>
        </w:trPr>
        <w:tc>
          <w:tcPr>
            <w:tcW w:w="201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AB6" w:rsidRDefault="00E56A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2"/>
              </w:tabs>
              <w:spacing w:before="29" w:line="232" w:lineRule="auto"/>
              <w:ind w:left="1176" w:right="275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E56AB6" w:rsidRDefault="009F6C48">
            <w:pPr>
              <w:pStyle w:val="TableParagraph"/>
              <w:spacing w:before="0" w:line="201" w:lineRule="exact"/>
              <w:ind w:left="977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9F6C48">
            <w:pPr>
              <w:pStyle w:val="TableParagraph"/>
              <w:spacing w:before="135"/>
              <w:ind w:left="112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8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1"/>
              </w:tabs>
              <w:spacing w:before="29" w:line="232" w:lineRule="auto"/>
              <w:ind w:left="975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E56AB6" w:rsidRDefault="009F6C48">
            <w:pPr>
              <w:pStyle w:val="TableParagraph"/>
              <w:spacing w:before="0" w:line="197" w:lineRule="exact"/>
              <w:ind w:left="1048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7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E56AB6" w:rsidRDefault="009F6C48">
            <w:pPr>
              <w:pStyle w:val="TableParagraph"/>
              <w:spacing w:before="0" w:line="197" w:lineRule="exact"/>
              <w:ind w:left="1048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9"/>
              </w:tabs>
              <w:spacing w:before="29" w:line="232" w:lineRule="auto"/>
              <w:ind w:left="974" w:right="77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E56AB6" w:rsidRDefault="009F6C48">
            <w:pPr>
              <w:pStyle w:val="TableParagraph"/>
              <w:spacing w:before="0" w:line="232" w:lineRule="auto"/>
              <w:ind w:left="1135" w:right="24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E56AB6" w:rsidRDefault="009F6C48">
            <w:pPr>
              <w:pStyle w:val="TableParagraph"/>
              <w:spacing w:before="0" w:line="197" w:lineRule="exact"/>
              <w:ind w:left="1046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E56AB6" w:rsidRDefault="009F6C48">
            <w:pPr>
              <w:pStyle w:val="TableParagraph"/>
              <w:spacing w:before="0" w:line="181" w:lineRule="exact"/>
              <w:ind w:left="1048" w:righ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8"/>
              </w:tabs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AB6" w:rsidRDefault="009F6C48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E56AB6" w:rsidRDefault="00E56AB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E56AB6" w:rsidRDefault="009F6C48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 xml:space="preserve">69.5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050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8.0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 xml:space="preserve">69.3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79.5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35"/>
              <w:rPr>
                <w:sz w:val="20"/>
              </w:rPr>
            </w:pPr>
            <w:r>
              <w:rPr>
                <w:sz w:val="20"/>
              </w:rPr>
              <w:t xml:space="preserve">64.2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31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43.6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23.0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11.5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79.1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050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 xml:space="preserve">8.6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 xml:space="preserve">67.0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28.7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ab/>
              <w:t>10.1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74.8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3EE9" w:rsidRDefault="00823E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823EE9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35"/>
              <w:rPr>
                <w:sz w:val="20"/>
              </w:rPr>
            </w:pPr>
            <w:r>
              <w:rPr>
                <w:sz w:val="20"/>
              </w:rPr>
              <w:t xml:space="preserve">66.3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994"/>
              </w:tabs>
              <w:spacing w:before="23"/>
              <w:ind w:left="62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45" w:right="224"/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31"/>
              <w:rPr>
                <w:sz w:val="20"/>
              </w:rPr>
            </w:pPr>
            <w:r>
              <w:rPr>
                <w:sz w:val="20"/>
              </w:rPr>
              <w:t xml:space="preserve">70.9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823EE9" w:rsidRDefault="00823E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823EE9">
        <w:trPr>
          <w:trHeight w:val="402"/>
        </w:trPr>
        <w:tc>
          <w:tcPr>
            <w:tcW w:w="2012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78"/>
              <w:ind w:left="329" w:right="2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71.5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146"/>
              </w:tabs>
              <w:spacing w:before="78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26.9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145"/>
              </w:tabs>
              <w:spacing w:before="78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17.6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144"/>
              </w:tabs>
              <w:spacing w:before="78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16.8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823EE9" w:rsidRDefault="00823EE9">
            <w:pPr>
              <w:pStyle w:val="TableParagraph"/>
              <w:tabs>
                <w:tab w:val="left" w:pos="1200"/>
              </w:tabs>
              <w:spacing w:before="78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6.4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78"/>
              <w:ind w:left="45" w:right="113"/>
              <w:jc w:val="center"/>
              <w:rPr>
                <w:b/>
                <w:sz w:val="20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823EE9" w:rsidRDefault="00823EE9">
            <w:pPr>
              <w:pStyle w:val="TableParagraph"/>
              <w:spacing w:before="78"/>
              <w:ind w:left="3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823EE9" w:rsidRDefault="00823EE9">
            <w:pPr>
              <w:pStyle w:val="TableParagraph"/>
              <w:spacing w:before="78"/>
              <w:ind w:left="61"/>
              <w:rPr>
                <w:b/>
                <w:sz w:val="20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nil"/>
            </w:tcBorders>
          </w:tcPr>
          <w:p w:rsidR="00823EE9" w:rsidRDefault="00823EE9">
            <w:pPr>
              <w:pStyle w:val="TableParagraph"/>
              <w:spacing w:before="78"/>
              <w:ind w:left="295" w:right="3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</w:tr>
    </w:tbl>
    <w:p w:rsidR="009F6C48" w:rsidRDefault="009F6C48"/>
    <w:sectPr w:rsidR="009F6C48">
      <w:pgSz w:w="15840" w:h="12240" w:orient="landscape"/>
      <w:pgMar w:top="2340" w:right="360" w:bottom="2480" w:left="360" w:header="360" w:footer="2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48" w:rsidRDefault="009F6C48">
      <w:r>
        <w:separator/>
      </w:r>
    </w:p>
  </w:endnote>
  <w:endnote w:type="continuationSeparator" w:id="0">
    <w:p w:rsidR="009F6C48" w:rsidRDefault="009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89" type="#_x0000_t202" style="position:absolute;margin-left:26.2pt;margin-top:526.65pt;width:321.05pt;height:55.95pt;z-index:-1838950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(3)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(4) Prenatal program </w:t>
                </w:r>
                <w:r>
                  <w:rPr>
                    <w:spacing w:val="-2"/>
                  </w:rPr>
                  <w:t>participation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E56AB6" w:rsidRDefault="009F6C48">
                <w:pPr>
                  <w:pStyle w:val="BodyText"/>
                  <w:spacing w:line="182" w:lineRule="exact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81" type="#_x0000_t202" style="position:absolute;margin-left:145pt;margin-top:526.65pt;width:325.5pt;height:55.95pt;z-index:-18385408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(4) Records rejected if date of birth and date of visit </w:t>
                </w:r>
                <w:r>
                  <w:rPr>
                    <w:spacing w:val="-2"/>
                  </w:rPr>
                  <w:t>unknown.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>* National in</w:t>
                </w:r>
                <w:r>
                  <w:t xml:space="preserve">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E56AB6" w:rsidRDefault="009F6C48">
                <w:pPr>
                  <w:pStyle w:val="BodyText"/>
                  <w:spacing w:line="182" w:lineRule="exact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73" type="#_x0000_t202" style="position:absolute;margin-left:26.95pt;margin-top:461.85pt;width:709.05pt;height:109.95pt;z-index:-18381312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>(4) Rank compares one Local Agency's rate to other Local Agencies. Rank 1 = be</w:t>
                </w:r>
                <w:r>
                  <w:t xml:space="preserve">st </w:t>
                </w:r>
                <w:r>
                  <w:rPr>
                    <w:spacing w:val="-2"/>
                  </w:rPr>
                  <w:t>rate.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(5) Infants born during the reporting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E56AB6" w:rsidRDefault="009F6C48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E56AB6" w:rsidRDefault="009F6C48">
                <w:pPr>
                  <w:pStyle w:val="BodyText"/>
                  <w:spacing w:line="235" w:lineRule="auto"/>
                  <w:ind w:left="286" w:hanging="267"/>
                </w:pPr>
                <w:r>
                  <w:t>(7)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</w:t>
                </w:r>
                <w:r>
                  <w:t>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E56AB6" w:rsidRDefault="009F6C48">
                <w:pPr>
                  <w:pStyle w:val="BodyText"/>
                  <w:spacing w:line="178" w:lineRule="exact"/>
                </w:pPr>
                <w:r>
                  <w:t>(8)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>CDC MMWR, ''Recommendations to Prevent and Control Iron</w:t>
                </w:r>
                <w:r>
                  <w:t xml:space="preserve"> Deficiency in the United States'',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4"/>
                  </w:rPr>
                  <w:t>ITOs</w:t>
                </w:r>
              </w:p>
              <w:p w:rsidR="00E56AB6" w:rsidRDefault="009F6C48">
                <w:pPr>
                  <w:pStyle w:val="BodyText"/>
                  <w:spacing w:line="182" w:lineRule="exact"/>
                </w:pPr>
                <w:r>
                  <w:t>* Percentages and ranks are not calculated if &lt; 100 records a</w:t>
                </w:r>
                <w:r>
                  <w:t xml:space="preserve">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5" type="#_x0000_t202" style="position:absolute;margin-left:24.05pt;margin-top:472.65pt;width:700.65pt;height:100.95pt;z-index:-18377216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(2) TV Viewing and Smoking in Household data are not reported by all </w:t>
                </w:r>
                <w:r>
                  <w:rPr>
                    <w:spacing w:val="-2"/>
                  </w:rPr>
                  <w:t>contributors.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(3)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(4)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(5) Rank compares one Local Agency's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AB6" w:rsidRDefault="009F6C48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born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Ever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 Least 6 Months analysis. Children who turned 12 months of age during the reporting period by/on their date of visit included in the Breastfed At Least 12 Months analysis.</w:t>
                </w:r>
              </w:p>
              <w:p w:rsidR="00E56AB6" w:rsidRDefault="009F6C48">
                <w:pPr>
                  <w:pStyle w:val="BodyText"/>
                  <w:spacing w:line="178" w:lineRule="exact"/>
                </w:pPr>
                <w:r>
                  <w:t xml:space="preserve">(7) The analysis includes infants who were ever breastfed and who turned that age </w:t>
                </w:r>
                <w:r>
                  <w:t xml:space="preserve">during the reporting period by/on their date of </w:t>
                </w:r>
                <w:r>
                  <w:rPr>
                    <w:spacing w:val="-2"/>
                  </w:rPr>
                  <w:t>visit.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(8) Children aged 2 years and older included in the </w:t>
                </w:r>
                <w:r>
                  <w:rPr>
                    <w:spacing w:val="-2"/>
                  </w:rPr>
                  <w:t>analyses.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4"/>
                  </w:rPr>
                  <w:t>ITOs</w:t>
                </w:r>
              </w:p>
              <w:p w:rsidR="00E56AB6" w:rsidRDefault="009F6C48">
                <w:pPr>
                  <w:pStyle w:val="BodyText"/>
                  <w:spacing w:line="182" w:lineRule="exact"/>
                </w:pPr>
                <w:r>
                  <w:t xml:space="preserve">* Percentages and ranks are not calculated if &lt; 100 records </w:t>
                </w:r>
                <w:r>
                  <w:t xml:space="preserve">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57" type="#_x0000_t202" style="position:absolute;margin-left:26.95pt;margin-top:474.6pt;width:709.05pt;height:100.95pt;z-index:-18373120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(4) Rank compares one Local Agency's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(5) Infants born during the reporting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E56AB6" w:rsidRDefault="009F6C48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E56AB6" w:rsidRDefault="009F6C48">
                <w:pPr>
                  <w:pStyle w:val="BodyText"/>
                  <w:spacing w:line="235" w:lineRule="auto"/>
                  <w:ind w:left="286" w:hanging="267"/>
                </w:pPr>
                <w:r>
                  <w:t>(7)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E56AB6" w:rsidRDefault="009F6C48">
                <w:pPr>
                  <w:pStyle w:val="BodyText"/>
                  <w:spacing w:line="178" w:lineRule="exact"/>
                </w:pPr>
                <w:r>
                  <w:t>(8)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CDC MMWR, ''Recommendations to Prevent and Control Iron Deficiency in the United States'',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E56AB6" w:rsidRDefault="009F6C48">
                <w:pPr>
                  <w:pStyle w:val="BodyText"/>
                  <w:spacing w:line="182" w:lineRule="exact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49" type="#_x0000_t202" style="position:absolute;margin-left:24.05pt;margin-top:486.95pt;width:700.65pt;height:91.95pt;z-index:-1836902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(2) TV Viewing and Smoking in Household data are not reported by all </w:t>
                </w:r>
                <w:r>
                  <w:rPr>
                    <w:spacing w:val="-2"/>
                  </w:rPr>
                  <w:t>contributors.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(3)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(4)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>(5) Rank compares one Local Agency's rate to other Local Agencies. Rank 1 = bes</w:t>
                </w:r>
                <w:r>
                  <w:t xml:space="preserve">t </w:t>
                </w:r>
                <w:r>
                  <w:rPr>
                    <w:spacing w:val="-2"/>
                  </w:rPr>
                  <w:t>rate.</w:t>
                </w:r>
              </w:p>
              <w:p w:rsidR="00E56AB6" w:rsidRDefault="009F6C48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born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Ever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 Least 6 Months analysis. Children who turned 12 months of age during the reporting period by/on their date of visit included in the Breastfed At Least 12 Months analysis.</w:t>
                </w:r>
              </w:p>
              <w:p w:rsidR="00E56AB6" w:rsidRDefault="009F6C48">
                <w:pPr>
                  <w:pStyle w:val="BodyText"/>
                  <w:spacing w:line="178" w:lineRule="exact"/>
                </w:pPr>
                <w:r>
                  <w:t xml:space="preserve">(7) The analysis includes infants who were ever breastfed and who turned that age </w:t>
                </w:r>
                <w:r>
                  <w:t xml:space="preserve">during the reporting period by/on their date of </w:t>
                </w:r>
                <w:r>
                  <w:rPr>
                    <w:spacing w:val="-2"/>
                  </w:rPr>
                  <w:t>visit.</w:t>
                </w:r>
              </w:p>
              <w:p w:rsidR="00E56AB6" w:rsidRDefault="009F6C48">
                <w:pPr>
                  <w:pStyle w:val="BodyText"/>
                  <w:spacing w:line="180" w:lineRule="exact"/>
                </w:pPr>
                <w:r>
                  <w:t xml:space="preserve">(8) Children aged 2 years and older included in the </w:t>
                </w:r>
                <w:r>
                  <w:rPr>
                    <w:spacing w:val="-2"/>
                  </w:rPr>
                  <w:t>analyses.</w:t>
                </w:r>
              </w:p>
              <w:p w:rsidR="00E56AB6" w:rsidRDefault="009F6C48">
                <w:pPr>
                  <w:pStyle w:val="BodyText"/>
                  <w:spacing w:line="182" w:lineRule="exact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48" w:rsidRDefault="009F6C48">
      <w:r>
        <w:separator/>
      </w:r>
    </w:p>
  </w:footnote>
  <w:footnote w:type="continuationSeparator" w:id="0">
    <w:p w:rsidR="009F6C48" w:rsidRDefault="009F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96" type="#_x0000_t202" style="position:absolute;margin-left:289.3pt;margin-top:17pt;width:213.4pt;height:60.75pt;z-index:-18393088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AB6" w:rsidRDefault="009F6C48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4F</w:t>
                </w:r>
              </w:p>
              <w:p w:rsidR="00E56AB6" w:rsidRDefault="009F6C48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095" type="#_x0000_t202" style="position:absolute;margin-left:667pt;margin-top:21.15pt;width:71.4pt;height:10.95pt;z-index:-18392576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094" type="#_x0000_t202" style="position:absolute;margin-left:669.1pt;margin-top:43.75pt;width:34.85pt;height:10.95pt;z-index:-1839206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093" type="#_x0000_t202" style="position:absolute;margin-left:507.25pt;margin-top:47.85pt;width:11.8pt;height:10.95pt;z-index:-18391552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" o:spid="_x0000_s2092" type="#_x0000_t202" style="position:absolute;margin-left:231.2pt;margin-top:76.95pt;width:329.6pt;height:14.3pt;z-index:-18391040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Racial and Ethnic Distribution by Local </w:t>
                </w:r>
                <w:r>
                  <w:rPr>
                    <w:b/>
                    <w:spacing w:val="-2"/>
                  </w:rPr>
                  <w:t>Agency</w:t>
                </w:r>
              </w:p>
            </w:txbxContent>
          </v:textbox>
          <w10:wrap anchorx="page" anchory="page"/>
        </v:shape>
      </w:pict>
    </w:r>
    <w:r>
      <w:pict>
        <v:shape id="docshape6" o:spid="_x0000_s2091" type="#_x0000_t202" style="position:absolute;margin-left:471.25pt;margin-top:90.45pt;width:11.8pt;height:10.95pt;z-index:-18390528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7" o:spid="_x0000_s2090" type="#_x0000_t202" style="position:absolute;margin-left:331.55pt;margin-top:90.65pt;width:128.85pt;height:14.3pt;z-index:-18390016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88" type="#_x0000_t202" style="position:absolute;margin-left:289.3pt;margin-top:17pt;width:213.4pt;height:60.75pt;z-index:-18388992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AB6" w:rsidRDefault="009F6C48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5F</w:t>
                </w:r>
              </w:p>
              <w:p w:rsidR="00E56AB6" w:rsidRDefault="009F6C48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0" o:spid="_x0000_s2087" type="#_x0000_t202" style="position:absolute;margin-left:667pt;margin-top:21.15pt;width:71.4pt;height:10.95pt;z-index:-18388480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1" o:spid="_x0000_s2086" type="#_x0000_t202" style="position:absolute;margin-left:669.1pt;margin-top:43.75pt;width:34.85pt;height:10.95pt;z-index:-18387968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2" o:spid="_x0000_s2085" type="#_x0000_t202" style="position:absolute;margin-left:507.25pt;margin-top:47.85pt;width:11.8pt;height:10.95pt;z-index:-18387456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3" o:spid="_x0000_s2084" type="#_x0000_t202" style="position:absolute;margin-left:266.7pt;margin-top:76.95pt;width:258.7pt;height:14.3pt;z-index:-18386944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Age Distribution by Local </w:t>
                </w:r>
                <w:r>
                  <w:rPr>
                    <w:b/>
                    <w:spacing w:val="-2"/>
                  </w:rPr>
                  <w:t>Agency</w:t>
                </w:r>
              </w:p>
            </w:txbxContent>
          </v:textbox>
          <w10:wrap anchorx="page" anchory="page"/>
        </v:shape>
      </w:pict>
    </w:r>
    <w:r>
      <w:pict>
        <v:shape id="docshape14" o:spid="_x0000_s2083" type="#_x0000_t202" style="position:absolute;margin-left:471.25pt;margin-top:90.45pt;width:11.8pt;height:10.95pt;z-index:-18386432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15" o:spid="_x0000_s2082" type="#_x0000_t202" style="position:absolute;margin-left:331.55pt;margin-top:90.65pt;width:128.85pt;height:14.3pt;z-index:-18385920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80" type="#_x0000_t202" style="position:absolute;margin-left:289.3pt;margin-top:17pt;width:213.4pt;height:60.75pt;z-index:-18384896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AB6" w:rsidRDefault="009F6C48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6F</w:t>
                </w:r>
              </w:p>
              <w:p w:rsidR="00E56AB6" w:rsidRDefault="009F6C48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8" o:spid="_x0000_s2079" type="#_x0000_t202" style="position:absolute;margin-left:667pt;margin-top:21.15pt;width:71.4pt;height:10.95pt;z-index:-1838438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9" o:spid="_x0000_s2078" type="#_x0000_t202" style="position:absolute;margin-left:669.1pt;margin-top:43.75pt;width:34.85pt;height:10.95pt;z-index:-18383872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0" o:spid="_x0000_s2077" type="#_x0000_t202" style="position:absolute;margin-left:507.25pt;margin-top:47.85pt;width:11.8pt;height:10.95pt;z-index:-18383360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1" o:spid="_x0000_s2076" type="#_x0000_t202" style="position:absolute;margin-left:229.7pt;margin-top:76.95pt;width:332.65pt;height:14.3pt;z-index:-18382848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Growth and Anemia Indicators by Local </w:t>
                </w:r>
                <w:r>
                  <w:rPr>
                    <w:b/>
                    <w:spacing w:val="-2"/>
                  </w:rPr>
                  <w:t>Agency</w:t>
                </w:r>
              </w:p>
            </w:txbxContent>
          </v:textbox>
          <w10:wrap anchorx="page" anchory="page"/>
        </v:shape>
      </w:pict>
    </w:r>
    <w:r>
      <w:pict>
        <v:shape id="docshape22" o:spid="_x0000_s2075" type="#_x0000_t202" style="position:absolute;margin-left:471.25pt;margin-top:90.45pt;width:11.8pt;height:10.95pt;z-index:-18382336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23" o:spid="_x0000_s2074" type="#_x0000_t202" style="position:absolute;margin-left:331.55pt;margin-top:90.65pt;width:128.85pt;height:14.3pt;z-index:-18381824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72" type="#_x0000_t202" style="position:absolute;margin-left:289.3pt;margin-top:17pt;width:213.4pt;height:60.75pt;z-index:-18380800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AB6" w:rsidRDefault="009F6C48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7F</w:t>
                </w:r>
              </w:p>
              <w:p w:rsidR="00E56AB6" w:rsidRDefault="009F6C48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6" o:spid="_x0000_s2071" type="#_x0000_t202" style="position:absolute;margin-left:667pt;margin-top:21.15pt;width:71.4pt;height:10.95pt;z-index:-18380288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7" o:spid="_x0000_s2070" type="#_x0000_t202" style="position:absolute;margin-left:669.1pt;margin-top:43.75pt;width:34.85pt;height:10.95pt;z-index:-18379776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7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8" o:spid="_x0000_s2069" type="#_x0000_t202" style="position:absolute;margin-left:507.25pt;margin-top:47.85pt;width:11.8pt;height:10.95pt;z-index:-1837926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9" o:spid="_x0000_s2068" type="#_x0000_t202" style="position:absolute;margin-left:160pt;margin-top:76.95pt;width:472pt;height:14.3pt;z-index:-18378752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sz w:val="16"/>
                  </w:rPr>
                </w:pPr>
                <w:r>
                  <w:rPr>
                    <w:b/>
                  </w:rPr>
                  <w:t xml:space="preserve">Comparison of Breastfeeding, TV Viewing, and Smoking in Household by Local Agency </w:t>
                </w:r>
                <w:r>
                  <w:rPr>
                    <w:spacing w:val="-5"/>
                    <w:sz w:val="16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30" o:spid="_x0000_s2067" type="#_x0000_t202" style="position:absolute;margin-left:471.25pt;margin-top:90.45pt;width:11.8pt;height:10.95pt;z-index:-18378240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(3)</w:t>
                </w:r>
              </w:p>
            </w:txbxContent>
          </v:textbox>
          <w10:wrap anchorx="page" anchory="page"/>
        </v:shape>
      </w:pict>
    </w:r>
    <w:r>
      <w:pict>
        <v:shape id="docshape31" o:spid="_x0000_s2066" type="#_x0000_t202" style="position:absolute;margin-left:331.55pt;margin-top:90.65pt;width:128.85pt;height:14.3pt;z-index:-18377728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64" type="#_x0000_t202" style="position:absolute;margin-left:270.65pt;margin-top:17pt;width:250.8pt;height:60.75pt;z-index:-18376704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1"/>
                  <w:ind w:left="26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AB6" w:rsidRDefault="009F6C48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6F</w:t>
                </w:r>
              </w:p>
              <w:p w:rsidR="00E56AB6" w:rsidRDefault="009F6C48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4" o:spid="_x0000_s2063" type="#_x0000_t202" style="position:absolute;margin-left:667pt;margin-top:21.15pt;width:71.4pt;height:10.95pt;z-index:-18376192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5" o:spid="_x0000_s2062" type="#_x0000_t202" style="position:absolute;margin-left:666.9pt;margin-top:43.75pt;width:39.25pt;height:10.95pt;z-index:-18375680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6" o:spid="_x0000_s2061" type="#_x0000_t202" style="position:absolute;margin-left:528.85pt;margin-top:47.85pt;width:11.8pt;height:10.95pt;z-index:-18375168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7" o:spid="_x0000_s2060" type="#_x0000_t202" style="position:absolute;margin-left:229.7pt;margin-top:76.95pt;width:332.65pt;height:14.3pt;z-index:-18374656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Growth and Anemia Indicators by Local </w:t>
                </w:r>
                <w:r>
                  <w:rPr>
                    <w:b/>
                    <w:spacing w:val="-2"/>
                  </w:rPr>
                  <w:t>Agency</w:t>
                </w:r>
              </w:p>
            </w:txbxContent>
          </v:textbox>
          <w10:wrap anchorx="page" anchory="page"/>
        </v:shape>
      </w:pict>
    </w:r>
    <w:r>
      <w:pict>
        <v:shape id="docshape38" o:spid="_x0000_s2059" type="#_x0000_t202" style="position:absolute;margin-left:471.25pt;margin-top:90.45pt;width:11.8pt;height:10.95pt;z-index:-1837414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39" o:spid="_x0000_s2058" type="#_x0000_t202" style="position:absolute;margin-left:331.55pt;margin-top:90.65pt;width:128.85pt;height:28pt;z-index:-18373632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 w:line="259" w:lineRule="auto"/>
                  <w:ind w:left="329" w:hanging="310"/>
                  <w:rPr>
                    <w:b/>
                  </w:rPr>
                </w:pPr>
                <w:r>
                  <w:rPr>
                    <w:b/>
                  </w:rPr>
                  <w:t>Children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Aged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&lt;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5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Years Combined 3 Years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B6" w:rsidRDefault="009F6C48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056" type="#_x0000_t202" style="position:absolute;margin-left:270.65pt;margin-top:17pt;width:250.8pt;height:60.75pt;z-index:-18372608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1"/>
                  <w:ind w:left="26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AB6" w:rsidRDefault="009F6C48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7F</w:t>
                </w:r>
              </w:p>
              <w:p w:rsidR="00E56AB6" w:rsidRDefault="009F6C48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2" o:spid="_x0000_s2055" type="#_x0000_t202" style="position:absolute;margin-left:667pt;margin-top:21.15pt;width:71.4pt;height:10.95pt;z-index:-18372096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3" o:spid="_x0000_s2054" type="#_x0000_t202" style="position:absolute;margin-left:666.9pt;margin-top:43.75pt;width:39.25pt;height:10.95pt;z-index:-18371584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4" o:spid="_x0000_s2053" type="#_x0000_t202" style="position:absolute;margin-left:528.85pt;margin-top:47.85pt;width:11.8pt;height:10.95pt;z-index:-18371072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45" o:spid="_x0000_s2052" type="#_x0000_t202" style="position:absolute;margin-left:160.4pt;margin-top:76.95pt;width:471.2pt;height:14.3pt;z-index:-18370560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/>
                  <w:ind w:left="20"/>
                  <w:rPr>
                    <w:sz w:val="16"/>
                  </w:rPr>
                </w:pPr>
                <w:r>
                  <w:rPr>
                    <w:b/>
                  </w:rPr>
                  <w:t>Comparison of Breastfeeding, TV Viewing, and Smoking in Household by Local Agency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46" o:spid="_x0000_s2051" type="#_x0000_t202" style="position:absolute;margin-left:471.25pt;margin-top:90.45pt;width:11.8pt;height:10.95pt;z-index:-18370048;mso-position-horizontal-relative:page;mso-position-vertical-relative:page" filled="f" stroked="f">
          <v:textbox inset="0,0,0,0">
            <w:txbxContent>
              <w:p w:rsidR="00E56AB6" w:rsidRDefault="009F6C48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(3)</w:t>
                </w:r>
              </w:p>
            </w:txbxContent>
          </v:textbox>
          <w10:wrap anchorx="page" anchory="page"/>
        </v:shape>
      </w:pict>
    </w:r>
    <w:r>
      <w:pict>
        <v:shape id="docshape47" o:spid="_x0000_s2050" type="#_x0000_t202" style="position:absolute;margin-left:331.55pt;margin-top:90.65pt;width:128.85pt;height:28pt;z-index:-18369536;mso-position-horizontal-relative:page;mso-position-vertical-relative:page" filled="f" stroked="f">
          <v:textbox inset="0,0,0,0">
            <w:txbxContent>
              <w:p w:rsidR="00E56AB6" w:rsidRDefault="009F6C48">
                <w:pPr>
                  <w:spacing w:before="12" w:line="259" w:lineRule="auto"/>
                  <w:ind w:left="329" w:hanging="310"/>
                  <w:rPr>
                    <w:b/>
                  </w:rPr>
                </w:pPr>
                <w:r>
                  <w:rPr>
                    <w:b/>
                  </w:rPr>
                  <w:t>Children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Aged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&lt;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5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Years Combined 3 Years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AB6"/>
    <w:rsid w:val="001A5072"/>
    <w:rsid w:val="00801280"/>
    <w:rsid w:val="00823EE9"/>
    <w:rsid w:val="009F6C48"/>
    <w:rsid w:val="00D25622"/>
    <w:rsid w:val="00E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60A41161"/>
  <w15:docId w15:val="{EBF4888F-4351-4F81-A9FB-A0E333D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1821</Words>
  <Characters>10382</Characters>
  <Application>Microsoft Office Word</Application>
  <DocSecurity>0</DocSecurity>
  <Lines>86</Lines>
  <Paragraphs>24</Paragraphs>
  <ScaleCrop>false</ScaleCrop>
  <Company>Iowa Department of Public Health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5</cp:revision>
  <dcterms:created xsi:type="dcterms:W3CDTF">2023-03-24T15:41:00Z</dcterms:created>
  <dcterms:modified xsi:type="dcterms:W3CDTF">2023-03-24T15:56:00Z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iTextSharp™ 5.5.8 ©2000-2015 iText Group NV (AGPL-version)</vt:lpwstr>
  </property>
</Properties>
</file>