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Red Tape Review Rule Report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>
        <w:trPr/>
        <w:tc>
          <w:tcPr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Department Name: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 &amp; Human Services (HHS)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9/1/2023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Rule Count: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IAC #: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Chapter/ </w:t>
            </w:r>
            <w:r>
              <w:rPr>
                <w:b/>
                <w:sz w:val="24"/>
                <w:szCs w:val="24"/>
              </w:rPr>
              <w:t xml:space="preserve">SubCh</w:t>
            </w:r>
            <w:r>
              <w:rPr>
                <w:b/>
                <w:sz w:val="24"/>
                <w:szCs w:val="24"/>
              </w:rPr>
              <w:t xml:space="preserve">apter</w:t>
            </w:r>
            <w:r>
              <w:rPr>
                <w:b/>
                <w:sz w:val="24"/>
                <w:szCs w:val="24"/>
              </w:rPr>
              <w:t xml:space="preserve">/ Rule(s):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Iowa Code Section Authorizing Rule: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142A.6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Name: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Joe Campos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848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0" w:tooltip="mailto:Joe.campos@idph.iowa.gov" w:history="1">
              <w:r>
                <w:rPr>
                  <w:rStyle w:val="848"/>
                  <w:sz w:val="24"/>
                  <w:szCs w:val="24"/>
                </w:rPr>
                <w:t xml:space="preserve">Joe.campos@idph.iowa.gov</w:t>
              </w:r>
              <w:r>
                <w:rPr>
                  <w:rStyle w:val="848"/>
                  <w:sz w:val="24"/>
                  <w:szCs w:val="24"/>
                </w:rPr>
              </w:r>
              <w:r>
                <w:rPr>
                  <w:rStyle w:val="848"/>
                  <w:sz w:val="24"/>
                  <w:szCs w:val="24"/>
                </w:rPr>
              </w:r>
            </w:hyperlink>
            <w:r>
              <w:rPr>
                <w:rStyle w:val="848"/>
                <w:sz w:val="24"/>
                <w:szCs w:val="24"/>
              </w:rPr>
            </w:r>
            <w:r>
              <w:rPr>
                <w:rStyle w:val="848"/>
                <w:sz w:val="24"/>
                <w:szCs w:val="24"/>
              </w:rPr>
            </w:r>
          </w:p>
        </w:tc>
        <w:tc>
          <w:tcPr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Phone: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515-304-0963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00"/>
        <w:spacing w:after="0"/>
        <w:ind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yellow"/>
        </w:rPr>
        <w:t xml:space="preserve">PLEASE NOTE, THE BOXES BELOW WILL EXPAND AS YOU TYPE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Bdr/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the intended benefit of the </w:t>
      </w:r>
      <w:r>
        <w:rPr>
          <w:b/>
          <w:sz w:val="24"/>
          <w:szCs w:val="24"/>
        </w:rPr>
        <w:t xml:space="preserve">rule</w:t>
      </w:r>
      <w:r>
        <w:rPr>
          <w:b/>
          <w:sz w:val="24"/>
          <w:szCs w:val="24"/>
        </w:rPr>
        <w:t xml:space="preserve">?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This rule chapter sets forth procedure of the Iowa Tobacco Use Prevention and Control Commission in conducting competitive procurement on behalf of the tob</w:t>
            </w:r>
            <w:r>
              <w:rPr>
                <w:sz w:val="24"/>
                <w:szCs w:val="24"/>
              </w:rPr>
              <w:t xml:space="preserve">acco initiative. The commission may engage in its own procur</w:t>
            </w:r>
            <w:r>
              <w:rPr>
                <w:sz w:val="24"/>
                <w:szCs w:val="24"/>
              </w:rPr>
              <w:t xml:space="preserve">ement under Iowa Code. However,</w:t>
            </w:r>
            <w:r>
              <w:rPr>
                <w:sz w:val="24"/>
                <w:szCs w:val="24"/>
              </w:rPr>
              <w:t xml:space="preserve"> under current practice the commission utilizes HHS department procedure to engage in procurement under the auspices of the Department. </w:t>
            </w:r>
            <w:r>
              <w:rPr>
                <w:sz w:val="24"/>
                <w:szCs w:val="24"/>
              </w:rPr>
              <w:t xml:space="preserve">The activity in this rule chapter no longer matches commission and Department procedure.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the benefit being achieved? Please provide evidence.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NA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are the costs incurred by the public to comply with the </w:t>
      </w:r>
      <w:r>
        <w:rPr>
          <w:b/>
          <w:sz w:val="24"/>
          <w:szCs w:val="24"/>
        </w:rPr>
        <w:t xml:space="preserve">rule</w:t>
      </w:r>
      <w:r>
        <w:rPr>
          <w:b/>
          <w:sz w:val="24"/>
          <w:szCs w:val="24"/>
        </w:rPr>
        <w:t xml:space="preserve">?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NA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are the costs to the agency or any other agency to implement/enforce the </w:t>
      </w:r>
      <w:r>
        <w:rPr>
          <w:b/>
          <w:sz w:val="24"/>
          <w:szCs w:val="24"/>
        </w:rPr>
        <w:t xml:space="preserve">rule</w:t>
      </w:r>
      <w:r>
        <w:rPr>
          <w:b/>
          <w:sz w:val="24"/>
          <w:szCs w:val="24"/>
        </w:rPr>
        <w:t xml:space="preserve">?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NA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the costs justify the benefits achieved? Please </w:t>
      </w:r>
      <w:r>
        <w:rPr>
          <w:b/>
          <w:sz w:val="24"/>
          <w:szCs w:val="24"/>
        </w:rPr>
        <w:t xml:space="preserve">explain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NA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there less restrictive alternatives to accomplish the </w:t>
      </w:r>
      <w:r>
        <w:rPr>
          <w:b/>
          <w:sz w:val="24"/>
          <w:szCs w:val="24"/>
        </w:rPr>
        <w:t xml:space="preserve">benefit</w:t>
      </w:r>
      <w:r>
        <w:rPr>
          <w:b/>
          <w:sz w:val="24"/>
          <w:szCs w:val="24"/>
        </w:rPr>
        <w:t xml:space="preserve">?  </w:t>
      </w:r>
      <w:sdt>
        <w:sdtPr>
          <w15:appearance w15:val="boundingBox"/>
          <w:id w:val="1468241850"/>
          <w14:checkbox>
            <w14:checked w14:val="0"/>
            <w14:checkedState w14:val="2612" w14:font="MS Gothic"/>
            <w14:uncheckedState w14:val="2610" w14:font="MS Gothic"/>
          </w14:checkbox>
          <w:rPr>
            <w:b/>
            <w:sz w:val="24"/>
            <w:szCs w:val="24"/>
          </w:rPr>
        </w:sdtPr>
        <w:sdtContent>
          <w:r>
            <w:rPr>
              <w:rFonts w:hint="eastAsia" w:ascii="MS Gothic" w:hAnsi="MS Gothic" w:eastAsia="MS Gothic"/>
              <w:b/>
              <w:sz w:val="24"/>
              <w:szCs w:val="24"/>
            </w:rPr>
            <w:t xml:space="preserve">☐</w:t>
          </w:r>
        </w:sdtContent>
      </w:sdt>
      <w:r>
        <w:rPr>
          <w:b/>
          <w:sz w:val="24"/>
          <w:szCs w:val="24"/>
        </w:rPr>
        <w:t xml:space="preserve"> YES  </w:t>
      </w:r>
      <w:sdt>
        <w:sdtPr>
          <w15:appearance w15:val="boundingBox"/>
          <w:id w:val="364024588"/>
          <w14:checkbox>
            <w14:checked w14:val="0"/>
            <w14:checkedState w14:val="2612" w14:font="MS Gothic"/>
            <w14:uncheckedState w14:val="2610" w14:font="MS Gothic"/>
          </w14:checkbox>
          <w:rPr>
            <w:b/>
            <w:sz w:val="24"/>
            <w:szCs w:val="24"/>
          </w:rPr>
        </w:sdtPr>
        <w:sdtContent>
          <w:r>
            <w:rPr>
              <w:rFonts w:hint="eastAsia" w:ascii="MS Gothic" w:hAnsi="MS Gothic" w:eastAsia="MS Gothic" w:cs="MS Gothic"/>
              <w:b/>
              <w:sz w:val="24"/>
              <w:szCs w:val="24"/>
            </w:rPr>
            <w:t xml:space="preserve">☐</w:t>
          </w:r>
        </w:sdtContent>
      </w:sdt>
      <w:r>
        <w:rPr>
          <w:b/>
          <w:sz w:val="24"/>
          <w:szCs w:val="24"/>
        </w:rPr>
        <w:t xml:space="preserve">  NO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YES, please list alternative(s) and provide analysis of less restrictive alternatives from other states, if applicable. If NO, please </w:t>
      </w:r>
      <w:r>
        <w:rPr>
          <w:b/>
          <w:sz w:val="24"/>
          <w:szCs w:val="24"/>
        </w:rPr>
        <w:t xml:space="preserve">explain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NA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0"/>
        <w:ind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Does this chapter/rule(s) contain language that is obsolete, outdated, inconsistent, redundant, </w:t>
      </w:r>
      <w:r>
        <w:rPr>
          <w:b/>
          <w:sz w:val="24"/>
          <w:szCs w:val="24"/>
        </w:rPr>
        <w:t xml:space="preserve">or </w:t>
      </w:r>
      <w:r>
        <w:rPr>
          <w:b/>
          <w:sz w:val="24"/>
          <w:szCs w:val="24"/>
        </w:rPr>
        <w:t xml:space="preserve">un-necessary</w:t>
      </w:r>
      <w:r>
        <w:rPr>
          <w:b/>
          <w:sz w:val="24"/>
          <w:szCs w:val="24"/>
        </w:rPr>
        <w:t xml:space="preserve"> language</w:t>
      </w:r>
      <w:r>
        <w:rPr>
          <w:b/>
          <w:sz w:val="24"/>
          <w:szCs w:val="24"/>
        </w:rPr>
        <w:t xml:space="preserve">, including instances where rule language is duplicative of statutory language? [list chapter/rule number(s)</w:t>
      </w:r>
      <w:r>
        <w:rPr>
          <w:b/>
          <w:sz w:val="24"/>
          <w:szCs w:val="24"/>
        </w:rPr>
        <w:t xml:space="preserve"> that fall under any of the above </w:t>
      </w:r>
      <w:r>
        <w:rPr>
          <w:b/>
          <w:sz w:val="24"/>
          <w:szCs w:val="24"/>
        </w:rPr>
        <w:t xml:space="preserve">categories</w:t>
      </w:r>
      <w:r>
        <w:rPr>
          <w:b/>
          <w:sz w:val="24"/>
          <w:szCs w:val="24"/>
        </w:rPr>
        <w:t xml:space="preserve">]</w:t>
      </w:r>
      <w:r>
        <w:rPr>
          <w:b/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00"/>
        <w:spacing w:after="0" w:line="240" w:lineRule="auto"/>
        <w:ind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  <w:highlight w:val="yellow"/>
        </w:rPr>
        <w:t xml:space="preserve">PLEASE NOTE, THE BOXES BELOW WILL EXPAND AS YOU TYPE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The activity in this rule chapter no longer matches commission and Department procedure. The chapter can be rescinded.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</w:t>
      </w:r>
      <w:r>
        <w:rPr>
          <w:b/>
          <w:sz w:val="24"/>
          <w:szCs w:val="24"/>
        </w:rPr>
        <w:t xml:space="preserve">ULES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PROPOSED FOR REPEAL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list rule number</w:t>
      </w:r>
      <w:r>
        <w:rPr>
          <w:b/>
          <w:sz w:val="24"/>
          <w:szCs w:val="24"/>
        </w:rPr>
        <w:t xml:space="preserve">[</w:t>
      </w:r>
      <w:r>
        <w:rPr>
          <w:b/>
          <w:sz w:val="24"/>
          <w:szCs w:val="24"/>
        </w:rPr>
        <w:t xml:space="preserve">s</w:t>
      </w:r>
      <w:r>
        <w:rPr>
          <w:b/>
          <w:sz w:val="24"/>
          <w:szCs w:val="24"/>
        </w:rPr>
        <w:t xml:space="preserve">]):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None identified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*</w:t>
      </w:r>
      <w:r>
        <w:rPr>
          <w:b/>
          <w:sz w:val="24"/>
          <w:szCs w:val="24"/>
        </w:rPr>
        <w:t xml:space="preserve">RULES PROPOSED FOR RE-PROMULGATION*</w:t>
      </w:r>
      <w:r>
        <w:rPr>
          <w:b/>
          <w:sz w:val="24"/>
          <w:szCs w:val="24"/>
        </w:rPr>
        <w:t xml:space="preserve"> (list rule number[s]</w:t>
      </w:r>
      <w:r>
        <w:rPr>
          <w:b/>
          <w:sz w:val="24"/>
          <w:szCs w:val="24"/>
        </w:rPr>
        <w:t xml:space="preserve"> or include text if </w:t>
      </w:r>
      <w:r>
        <w:rPr>
          <w:b/>
          <w:sz w:val="24"/>
          <w:szCs w:val="24"/>
        </w:rPr>
        <w:t xml:space="preserve">available</w:t>
      </w:r>
      <w:r>
        <w:rPr>
          <w:b/>
          <w:sz w:val="24"/>
          <w:szCs w:val="24"/>
        </w:rPr>
        <w:t xml:space="preserve">):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None identified.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00"/>
        <w:spacing w:after="0" w:line="240" w:lineRule="auto"/>
        <w:ind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*For rules being re-promulgated with changes, please attach a document with suggested changes, if available.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Bdr/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METRICS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tblLook w:val="04A0" w:firstRow="1" w:lastRow="0" w:firstColumn="1" w:lastColumn="0" w:noHBand="0" w:noVBand="1"/>
      </w:tblPr>
      <w:tblGrid>
        <w:gridCol w:w="8815"/>
        <w:gridCol w:w="1975"/>
      </w:tblGrid>
      <w:tr>
        <w:trPr/>
        <w:tc>
          <w:tcPr>
            <w:tcBorders/>
            <w:tcW w:w="88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number of rules repealed: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75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329"/>
        </w:trPr>
        <w:tc>
          <w:tcPr>
            <w:tcBorders/>
            <w:tcW w:w="88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Proposed word count reduction after repeal and/or re-promulgation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75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878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8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Proposed number of restrictive terms eliminated after repeal and/or re-promulgation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75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THERE ANY RULES YOU WOULD RECOMMEND BE CODIFIED IN </w:t>
      </w:r>
      <w:r>
        <w:rPr>
          <w:b/>
          <w:sz w:val="24"/>
          <w:szCs w:val="24"/>
        </w:rPr>
        <w:t xml:space="preserve">STATUTE</w:t>
      </w:r>
      <w:r>
        <w:rPr>
          <w:b/>
          <w:sz w:val="24"/>
          <w:szCs w:val="24"/>
        </w:rPr>
        <w:t xml:space="preserve">?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70"/>
        <w:tblW w:w="0" w:type="auto"/>
        <w:tblBorders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>
        <w:trPr/>
        <w:tc>
          <w:tcPr>
            <w:shd w:val="clear" w:color="auto" w:fill="d9d9d9" w:themeFill="background1" w:themeFillShade="D9"/>
            <w:tcBorders/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None identified.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erReference w:type="default" r:id="rId9"/>
      <w:footnotePr/>
      <w:endnotePr/>
      <w:type w:val="nextPage"/>
      <w:pgSz w:h="15840" w:orient="portrait" w:w="12240"/>
      <w:pgMar w:top="720" w:right="720" w:bottom="72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202040A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6777992"/>
      <w:docPartObj>
        <w:docPartGallery w:val="Page Numbers (Bottom of Page)"/>
        <w:docPartUnique w:val="true"/>
      </w:docPartObj>
      <w:rPr/>
    </w:sdtPr>
    <w:sdtContent>
      <w:p>
        <w:pPr>
          <w:pStyle w:val="874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4">
    <w:name w:val="Heading 1"/>
    <w:basedOn w:val="866"/>
    <w:next w:val="866"/>
    <w:link w:val="69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7"/>
    <w:link w:val="69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866"/>
    <w:next w:val="866"/>
    <w:link w:val="69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7"/>
    <w:link w:val="69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8">
    <w:name w:val="Heading 3"/>
    <w:basedOn w:val="866"/>
    <w:next w:val="866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7"/>
    <w:link w:val="6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866"/>
    <w:next w:val="866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7"/>
    <w:link w:val="7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6"/>
    <w:next w:val="866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7"/>
    <w:link w:val="70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6"/>
    <w:next w:val="866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7"/>
    <w:link w:val="7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6"/>
    <w:next w:val="866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7"/>
    <w:link w:val="70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6"/>
    <w:next w:val="866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7"/>
    <w:link w:val="70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6"/>
    <w:next w:val="866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7"/>
    <w:link w:val="71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pBdr/>
      <w:spacing w:after="0" w:before="0" w:line="240" w:lineRule="auto"/>
      <w:ind/>
    </w:pPr>
  </w:style>
  <w:style w:type="paragraph" w:styleId="713">
    <w:name w:val="Title"/>
    <w:basedOn w:val="866"/>
    <w:next w:val="866"/>
    <w:link w:val="71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4">
    <w:name w:val="Title Char"/>
    <w:basedOn w:val="867"/>
    <w:link w:val="713"/>
    <w:uiPriority w:val="10"/>
    <w:pPr>
      <w:pBdr/>
      <w:spacing/>
      <w:ind/>
    </w:pPr>
    <w:rPr>
      <w:sz w:val="48"/>
      <w:szCs w:val="48"/>
    </w:rPr>
  </w:style>
  <w:style w:type="paragraph" w:styleId="715">
    <w:name w:val="Subtitle"/>
    <w:basedOn w:val="866"/>
    <w:next w:val="866"/>
    <w:link w:val="71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6">
    <w:name w:val="Subtitle Char"/>
    <w:basedOn w:val="867"/>
    <w:link w:val="715"/>
    <w:uiPriority w:val="11"/>
    <w:pPr>
      <w:pBdr/>
      <w:spacing/>
      <w:ind/>
    </w:pPr>
    <w:rPr>
      <w:sz w:val="24"/>
      <w:szCs w:val="24"/>
    </w:rPr>
  </w:style>
  <w:style w:type="paragraph" w:styleId="717">
    <w:name w:val="Quote"/>
    <w:basedOn w:val="866"/>
    <w:next w:val="866"/>
    <w:link w:val="718"/>
    <w:uiPriority w:val="29"/>
    <w:qFormat/>
    <w:pPr>
      <w:pBdr/>
      <w:spacing/>
      <w:ind w:right="720" w:left="720"/>
    </w:pPr>
    <w:rPr>
      <w:i/>
    </w:rPr>
  </w:style>
  <w:style w:type="character" w:styleId="718">
    <w:name w:val="Quote Char"/>
    <w:link w:val="717"/>
    <w:uiPriority w:val="29"/>
    <w:pPr>
      <w:pBdr/>
      <w:spacing/>
      <w:ind/>
    </w:pPr>
    <w:rPr>
      <w:i/>
    </w:rPr>
  </w:style>
  <w:style w:type="paragraph" w:styleId="719">
    <w:name w:val="Intense Quote"/>
    <w:basedOn w:val="866"/>
    <w:next w:val="866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0">
    <w:name w:val="Intense Quote Char"/>
    <w:link w:val="719"/>
    <w:uiPriority w:val="30"/>
    <w:pPr>
      <w:pBdr/>
      <w:spacing/>
      <w:ind/>
    </w:pPr>
    <w:rPr>
      <w:i/>
    </w:rPr>
  </w:style>
  <w:style w:type="paragraph" w:styleId="721">
    <w:name w:val="Caption"/>
    <w:basedOn w:val="866"/>
    <w:next w:val="86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4"/>
    <w:uiPriority w:val="99"/>
    <w:pPr>
      <w:pBdr/>
      <w:spacing/>
      <w:ind/>
    </w:pPr>
  </w:style>
  <w:style w:type="table" w:styleId="723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0">
    <w:name w:val="Footnote Text Char"/>
    <w:link w:val="849"/>
    <w:uiPriority w:val="99"/>
    <w:pPr>
      <w:pBdr/>
      <w:spacing/>
      <w:ind/>
    </w:pPr>
    <w:rPr>
      <w:sz w:val="18"/>
    </w:rPr>
  </w:style>
  <w:style w:type="character" w:styleId="851">
    <w:name w:val="footnote reference"/>
    <w:basedOn w:val="867"/>
    <w:uiPriority w:val="99"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3">
    <w:name w:val="Endnote Text Char"/>
    <w:link w:val="852"/>
    <w:uiPriority w:val="99"/>
    <w:pPr>
      <w:pBdr/>
      <w:spacing/>
      <w:ind/>
    </w:pPr>
    <w:rPr>
      <w:sz w:val="20"/>
    </w:rPr>
  </w:style>
  <w:style w:type="character" w:styleId="854">
    <w:name w:val="end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pBdr/>
      <w:spacing w:after="57"/>
      <w:ind w:right="0" w:firstLine="0" w:left="0"/>
    </w:pPr>
  </w:style>
  <w:style w:type="paragraph" w:styleId="856">
    <w:name w:val="toc 2"/>
    <w:basedOn w:val="866"/>
    <w:next w:val="866"/>
    <w:uiPriority w:val="39"/>
    <w:unhideWhenUsed/>
    <w:pPr>
      <w:pBdr/>
      <w:spacing w:after="57"/>
      <w:ind w:right="0" w:firstLine="0" w:left="283"/>
    </w:pPr>
  </w:style>
  <w:style w:type="paragraph" w:styleId="857">
    <w:name w:val="toc 3"/>
    <w:basedOn w:val="866"/>
    <w:next w:val="866"/>
    <w:uiPriority w:val="39"/>
    <w:unhideWhenUsed/>
    <w:pPr>
      <w:pBdr/>
      <w:spacing w:after="57"/>
      <w:ind w:right="0" w:firstLine="0" w:left="567"/>
    </w:pPr>
  </w:style>
  <w:style w:type="paragraph" w:styleId="858">
    <w:name w:val="toc 4"/>
    <w:basedOn w:val="866"/>
    <w:next w:val="866"/>
    <w:uiPriority w:val="39"/>
    <w:unhideWhenUsed/>
    <w:pPr>
      <w:pBdr/>
      <w:spacing w:after="57"/>
      <w:ind w:right="0" w:firstLine="0" w:left="850"/>
    </w:pPr>
  </w:style>
  <w:style w:type="paragraph" w:styleId="859">
    <w:name w:val="toc 5"/>
    <w:basedOn w:val="866"/>
    <w:next w:val="866"/>
    <w:uiPriority w:val="39"/>
    <w:unhideWhenUsed/>
    <w:pPr>
      <w:pBdr/>
      <w:spacing w:after="57"/>
      <w:ind w:right="0" w:firstLine="0" w:left="1134"/>
    </w:pPr>
  </w:style>
  <w:style w:type="paragraph" w:styleId="860">
    <w:name w:val="toc 6"/>
    <w:basedOn w:val="866"/>
    <w:next w:val="866"/>
    <w:uiPriority w:val="39"/>
    <w:unhideWhenUsed/>
    <w:pPr>
      <w:pBdr/>
      <w:spacing w:after="57"/>
      <w:ind w:right="0" w:firstLine="0" w:left="1417"/>
    </w:pPr>
  </w:style>
  <w:style w:type="paragraph" w:styleId="861">
    <w:name w:val="toc 7"/>
    <w:basedOn w:val="866"/>
    <w:next w:val="866"/>
    <w:uiPriority w:val="39"/>
    <w:unhideWhenUsed/>
    <w:pPr>
      <w:pBdr/>
      <w:spacing w:after="57"/>
      <w:ind w:right="0" w:firstLine="0" w:left="1701"/>
    </w:pPr>
  </w:style>
  <w:style w:type="paragraph" w:styleId="862">
    <w:name w:val="toc 8"/>
    <w:basedOn w:val="866"/>
    <w:next w:val="866"/>
    <w:uiPriority w:val="39"/>
    <w:unhideWhenUsed/>
    <w:pPr>
      <w:pBdr/>
      <w:spacing w:after="57"/>
      <w:ind w:right="0" w:firstLine="0" w:left="1984"/>
    </w:pPr>
  </w:style>
  <w:style w:type="paragraph" w:styleId="863">
    <w:name w:val="toc 9"/>
    <w:basedOn w:val="866"/>
    <w:next w:val="866"/>
    <w:uiPriority w:val="39"/>
    <w:unhideWhenUsed/>
    <w:pPr>
      <w:pBdr/>
      <w:spacing w:after="57"/>
      <w:ind w:right="0" w:firstLine="0" w:left="2268"/>
    </w:pPr>
  </w:style>
  <w:style w:type="paragraph" w:styleId="864">
    <w:name w:val="TOC Heading"/>
    <w:uiPriority w:val="39"/>
    <w:unhideWhenUsed/>
    <w:pPr>
      <w:pBdr/>
      <w:spacing/>
      <w:ind/>
    </w:pPr>
  </w:style>
  <w:style w:type="paragraph" w:styleId="865">
    <w:name w:val="table of figures"/>
    <w:basedOn w:val="866"/>
    <w:next w:val="866"/>
    <w:uiPriority w:val="99"/>
    <w:unhideWhenUsed/>
    <w:pPr>
      <w:pBdr/>
      <w:spacing w:after="0" w:afterAutospacing="0"/>
      <w:ind/>
    </w:pPr>
  </w:style>
  <w:style w:type="paragraph" w:styleId="866" w:default="1">
    <w:name w:val="Normal"/>
    <w:qFormat/>
    <w:pPr>
      <w:pBdr/>
      <w:spacing/>
      <w:ind/>
    </w:pPr>
  </w:style>
  <w:style w:type="character" w:styleId="867" w:default="1">
    <w:name w:val="Default Paragraph Font"/>
    <w:uiPriority w:val="1"/>
    <w:semiHidden/>
    <w:unhideWhenUsed/>
    <w:pPr>
      <w:pBdr/>
      <w:spacing/>
      <w:ind/>
    </w:pPr>
  </w:style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table" w:styleId="870">
    <w:name w:val="Table Grid"/>
    <w:basedOn w:val="86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1">
    <w:name w:val="Placeholder Text"/>
    <w:basedOn w:val="867"/>
    <w:uiPriority w:val="99"/>
    <w:semiHidden/>
    <w:pPr>
      <w:pBdr/>
      <w:spacing/>
      <w:ind/>
    </w:pPr>
    <w:rPr>
      <w:color w:val="808080"/>
    </w:rPr>
  </w:style>
  <w:style w:type="paragraph" w:styleId="872">
    <w:name w:val="Header"/>
    <w:basedOn w:val="866"/>
    <w:link w:val="87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3" w:customStyle="1">
    <w:name w:val="Header Char"/>
    <w:basedOn w:val="867"/>
    <w:link w:val="872"/>
    <w:uiPriority w:val="99"/>
    <w:pPr>
      <w:pBdr/>
      <w:spacing/>
      <w:ind/>
    </w:pPr>
  </w:style>
  <w:style w:type="paragraph" w:styleId="874">
    <w:name w:val="Footer"/>
    <w:basedOn w:val="866"/>
    <w:link w:val="87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5" w:customStyle="1">
    <w:name w:val="Footer Char"/>
    <w:basedOn w:val="867"/>
    <w:link w:val="874"/>
    <w:uiPriority w:val="99"/>
    <w:pPr>
      <w:pBdr/>
      <w:spacing/>
      <w:ind/>
    </w:pPr>
  </w:style>
  <w:style w:type="paragraph" w:styleId="876">
    <w:name w:val="List Paragraph"/>
    <w:basedOn w:val="866"/>
    <w:uiPriority w:val="34"/>
    <w:qFormat/>
    <w:pPr>
      <w:pBdr/>
      <w:spacing/>
      <w:ind w:left="720"/>
      <w:contextualSpacing w:val="true"/>
    </w:pPr>
  </w:style>
  <w:style w:type="character" w:styleId="877">
    <w:name w:val="annotation reference"/>
    <w:basedOn w:val="86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79" w:customStyle="1">
    <w:name w:val="Comment Text Char"/>
    <w:basedOn w:val="867"/>
    <w:link w:val="878"/>
    <w:uiPriority w:val="99"/>
    <w:semiHidden/>
    <w:pPr>
      <w:pBdr/>
      <w:spacing/>
      <w:ind/>
    </w:pPr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pPr>
      <w:pBdr/>
      <w:spacing/>
      <w:ind/>
    </w:pPr>
    <w:rPr>
      <w:b/>
      <w:bCs/>
    </w:rPr>
  </w:style>
  <w:style w:type="character" w:styleId="881" w:customStyle="1">
    <w:name w:val="Comment Subject Char"/>
    <w:basedOn w:val="879"/>
    <w:link w:val="88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882">
    <w:name w:val="Balloon Text"/>
    <w:basedOn w:val="866"/>
    <w:link w:val="88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83" w:customStyle="1">
    <w:name w:val="Balloon Text Char"/>
    <w:basedOn w:val="867"/>
    <w:link w:val="88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Joe.campos@idph.iowa.go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Tammy [IDOM]</dc:creator>
  <cp:keywords/>
  <dc:description/>
  <cp:lastModifiedBy>Joe Campos</cp:lastModifiedBy>
  <cp:revision>14</cp:revision>
  <dcterms:created xsi:type="dcterms:W3CDTF">2023-07-25T18:30:00Z</dcterms:created>
  <dcterms:modified xsi:type="dcterms:W3CDTF">2024-09-26T16:48:05Z</dcterms:modified>
</cp:coreProperties>
</file>