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67E8" w14:textId="198DBA54" w:rsidR="00A828ED" w:rsidRPr="00787B92" w:rsidRDefault="00981D0E">
      <w:pPr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 xml:space="preserve">M-CHAT-R/F Training </w:t>
      </w:r>
      <w:r w:rsidR="00087278">
        <w:rPr>
          <w:rFonts w:asciiTheme="majorHAnsi" w:hAnsiTheme="majorHAnsi"/>
          <w:color w:val="04627A" w:themeColor="accent1"/>
          <w:sz w:val="44"/>
          <w:szCs w:val="44"/>
        </w:rPr>
        <w:t xml:space="preserve">Slides – </w:t>
      </w:r>
      <w:r w:rsidR="004D7FF9">
        <w:rPr>
          <w:rFonts w:asciiTheme="majorHAnsi" w:hAnsiTheme="majorHAnsi"/>
          <w:color w:val="04627A" w:themeColor="accent1"/>
          <w:sz w:val="44"/>
          <w:szCs w:val="44"/>
        </w:rPr>
        <w:t>Notes Only</w:t>
      </w:r>
    </w:p>
    <w:p w14:paraId="18ED237F" w14:textId="77777777" w:rsidR="00087278" w:rsidRDefault="00087278" w:rsidP="00087278">
      <w:pPr>
        <w:rPr>
          <w:b/>
        </w:rPr>
      </w:pPr>
      <w:bookmarkStart w:id="0" w:name="_Hlk179361640"/>
      <w:r>
        <w:rPr>
          <w:b/>
        </w:rPr>
        <w:t>Slide 1 - Title Slide:</w:t>
      </w:r>
    </w:p>
    <w:p w14:paraId="5C778E6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Things to remember:</w:t>
      </w:r>
    </w:p>
    <w:p w14:paraId="719F32B9" w14:textId="77777777" w:rsidR="00087278" w:rsidRPr="004D7FF9" w:rsidRDefault="00087278" w:rsidP="00087278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whether completing virtually or in-person you may want to send the slides via email ahead of the presentation so that attendees have an idea of what the content will include</w:t>
      </w:r>
    </w:p>
    <w:p w14:paraId="0369E895" w14:textId="77777777" w:rsidR="00087278" w:rsidRPr="004D7FF9" w:rsidRDefault="00087278" w:rsidP="00087278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if delivering virtually you may want to mail or deliver hard copies of the slides with a space for notes to the practice to support tracking the information</w:t>
      </w:r>
    </w:p>
    <w:p w14:paraId="110C5BE5" w14:textId="77777777" w:rsidR="00087278" w:rsidRPr="004D7FF9" w:rsidRDefault="00087278" w:rsidP="00087278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track attendance virtually via the chat box (name and email address) or in-person with an attendance sheet. Be sure to provide space for best method for contact/follow-up i.e. email address or direct phone number</w:t>
      </w:r>
    </w:p>
    <w:p w14:paraId="222E29C6" w14:textId="77777777" w:rsidR="00087278" w:rsidRPr="004D7FF9" w:rsidRDefault="00087278" w:rsidP="00087278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share that there are built in opportunities for questions throughout the training so encourage tracking questions either in a parking lot (in-person with sticky notes) or in the chat virtually</w:t>
      </w:r>
    </w:p>
    <w:p w14:paraId="600552A4" w14:textId="77777777" w:rsidR="00087278" w:rsidRPr="004D7FF9" w:rsidRDefault="00087278" w:rsidP="00087278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make sure to introduce yourself and thank your audience for the time to share this important information with them</w:t>
      </w:r>
    </w:p>
    <w:p w14:paraId="474042E2" w14:textId="77777777" w:rsidR="00087278" w:rsidRPr="004D7FF9" w:rsidRDefault="00087278" w:rsidP="00087278">
      <w:pPr>
        <w:rPr>
          <w:rFonts w:cstheme="minorHAnsi"/>
        </w:rPr>
      </w:pPr>
    </w:p>
    <w:p w14:paraId="0752A1C3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2: Learning Objectives</w:t>
      </w:r>
    </w:p>
    <w:p w14:paraId="0814582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0F86D7B7" w14:textId="77777777" w:rsidR="00087278" w:rsidRPr="004D7FF9" w:rsidRDefault="00087278" w:rsidP="00087278">
      <w:pPr>
        <w:widowControl w:val="0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review learning objectives - these may be tailored/modified to meet the needs of your practice. </w:t>
      </w:r>
    </w:p>
    <w:p w14:paraId="430E5182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1759D3C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3: EPSDT Periodicity Schedule</w:t>
      </w:r>
    </w:p>
    <w:p w14:paraId="6C1D3953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382D176B" w14:textId="77777777" w:rsidR="00087278" w:rsidRPr="004D7FF9" w:rsidRDefault="00087278" w:rsidP="00087278">
      <w:pPr>
        <w:widowControl w:val="0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explain recommendations for autism specific screening during 18 and </w:t>
      </w:r>
      <w:proofErr w:type="spellStart"/>
      <w:r w:rsidRPr="004D7FF9">
        <w:rPr>
          <w:rFonts w:eastAsia="Calibri" w:cstheme="minorHAnsi"/>
          <w:szCs w:val="24"/>
        </w:rPr>
        <w:t>and</w:t>
      </w:r>
      <w:proofErr w:type="spellEnd"/>
      <w:r w:rsidRPr="004D7FF9">
        <w:rPr>
          <w:rFonts w:eastAsia="Calibri" w:cstheme="minorHAnsi"/>
          <w:szCs w:val="24"/>
        </w:rPr>
        <w:t xml:space="preserve"> </w:t>
      </w:r>
      <w:proofErr w:type="gramStart"/>
      <w:r w:rsidRPr="004D7FF9">
        <w:rPr>
          <w:rFonts w:eastAsia="Calibri" w:cstheme="minorHAnsi"/>
          <w:szCs w:val="24"/>
        </w:rPr>
        <w:t>24 month</w:t>
      </w:r>
      <w:proofErr w:type="gramEnd"/>
      <w:r w:rsidRPr="004D7FF9">
        <w:rPr>
          <w:rFonts w:eastAsia="Calibri" w:cstheme="minorHAnsi"/>
          <w:szCs w:val="24"/>
        </w:rPr>
        <w:t xml:space="preserve"> well-child exams </w:t>
      </w:r>
    </w:p>
    <w:p w14:paraId="34E83DDC" w14:textId="77777777" w:rsidR="00087278" w:rsidRPr="004D7FF9" w:rsidRDefault="00087278" w:rsidP="00087278">
      <w:pPr>
        <w:widowControl w:val="0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you may want to provide this as a handout within your mailed/delivered materials ahead of the training and/or provide the link for the attendees to the website: https://www.aap.org/periodicityschedule</w:t>
      </w:r>
    </w:p>
    <w:p w14:paraId="4C9A0088" w14:textId="77777777" w:rsidR="00087278" w:rsidRPr="004D7FF9" w:rsidRDefault="00087278" w:rsidP="00087278">
      <w:pPr>
        <w:rPr>
          <w:rFonts w:cstheme="minorHAnsi"/>
        </w:rPr>
      </w:pPr>
    </w:p>
    <w:p w14:paraId="4B13328E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4: Why</w:t>
      </w:r>
    </w:p>
    <w:p w14:paraId="3A87409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71C49905" w14:textId="77777777" w:rsidR="00087278" w:rsidRPr="004D7FF9" w:rsidRDefault="00087278" w:rsidP="00087278">
      <w:pPr>
        <w:widowControl w:val="0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explain the “why” behind the autism specific screening recommendation</w:t>
      </w:r>
    </w:p>
    <w:p w14:paraId="1E2F4450" w14:textId="77777777" w:rsidR="00087278" w:rsidRPr="004D7FF9" w:rsidRDefault="00087278" w:rsidP="00087278">
      <w:pPr>
        <w:rPr>
          <w:rFonts w:cstheme="minorHAnsi"/>
        </w:rPr>
      </w:pPr>
    </w:p>
    <w:p w14:paraId="165C6F55" w14:textId="77777777" w:rsidR="00087278" w:rsidRPr="004D7FF9" w:rsidRDefault="00087278" w:rsidP="00087278">
      <w:pPr>
        <w:rPr>
          <w:rFonts w:cstheme="minorHAnsi"/>
        </w:rPr>
      </w:pPr>
    </w:p>
    <w:p w14:paraId="2BC61CF9" w14:textId="77777777" w:rsidR="004D7FF9" w:rsidRDefault="004D7FF9" w:rsidP="00087278">
      <w:pPr>
        <w:rPr>
          <w:rFonts w:cstheme="minorHAnsi"/>
          <w:b/>
        </w:rPr>
      </w:pPr>
    </w:p>
    <w:p w14:paraId="7327C12E" w14:textId="6D31D505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lastRenderedPageBreak/>
        <w:t xml:space="preserve">Slide 5: </w:t>
      </w:r>
    </w:p>
    <w:p w14:paraId="572AEF7B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25321F92" w14:textId="77777777" w:rsidR="00087278" w:rsidRPr="004D7FF9" w:rsidRDefault="00087278" w:rsidP="00087278">
      <w:pPr>
        <w:widowControl w:val="0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components of the MCHAT R/F screening tool</w:t>
      </w:r>
    </w:p>
    <w:p w14:paraId="0EF1EE5F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72526D2E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6: Transition Slide - NA</w:t>
      </w:r>
    </w:p>
    <w:p w14:paraId="5F33602A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50FD1F2C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Side 7: MCHAT R/F Tool</w:t>
      </w:r>
    </w:p>
    <w:p w14:paraId="19A1B4C0" w14:textId="77777777" w:rsidR="00087278" w:rsidRPr="004D7FF9" w:rsidRDefault="00087278" w:rsidP="00087278">
      <w:pPr>
        <w:widowControl w:val="0"/>
        <w:spacing w:line="240" w:lineRule="auto"/>
        <w:ind w:left="720" w:hanging="360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 xml:space="preserve">Now let's talk about the M-CHAT R/F screening tool that can be used to screen children for ASD. Again, this is recommended to be done at the 18 and 24 </w:t>
      </w:r>
      <w:proofErr w:type="gramStart"/>
      <w:r w:rsidRPr="004D7FF9">
        <w:rPr>
          <w:rFonts w:eastAsia="Calibri" w:cstheme="minorHAnsi"/>
          <w:szCs w:val="24"/>
        </w:rPr>
        <w:t>month</w:t>
      </w:r>
      <w:proofErr w:type="gramEnd"/>
      <w:r w:rsidRPr="004D7FF9">
        <w:rPr>
          <w:rFonts w:eastAsia="Calibri" w:cstheme="minorHAnsi"/>
          <w:szCs w:val="24"/>
        </w:rPr>
        <w:t xml:space="preserve"> well visit. </w:t>
      </w:r>
    </w:p>
    <w:p w14:paraId="6B9FF474" w14:textId="77777777" w:rsidR="00087278" w:rsidRPr="004D7FF9" w:rsidRDefault="00087278" w:rsidP="00087278">
      <w:pPr>
        <w:widowControl w:val="0"/>
        <w:spacing w:line="240" w:lineRule="auto"/>
        <w:ind w:left="720" w:hanging="360"/>
        <w:rPr>
          <w:rFonts w:eastAsia="Calibri" w:cstheme="minorHAnsi"/>
          <w:szCs w:val="24"/>
        </w:rPr>
      </w:pPr>
    </w:p>
    <w:p w14:paraId="7271E3A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16374B85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The MCHAT is a screening tool that is used for low-risk toddlers. It is a 2-stage screener. </w:t>
      </w:r>
    </w:p>
    <w:p w14:paraId="6258FCAA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The MCHAT Is free to use and takes very little time to administer and can be </w:t>
      </w:r>
      <w:r w:rsidRPr="004D7FF9">
        <w:rPr>
          <w:rFonts w:eastAsia="Calibri" w:cstheme="minorHAnsi"/>
          <w:color w:val="3F3F3F"/>
          <w:szCs w:val="24"/>
        </w:rPr>
        <w:t xml:space="preserve">completed by any appropriate trained staff. </w:t>
      </w:r>
    </w:p>
    <w:p w14:paraId="0AE1ED50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This screening tool also comes in several different languages. </w:t>
      </w:r>
    </w:p>
    <w:p w14:paraId="1859CA97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This screening tool is valid for children between the ages of 16 and 30 months.  </w:t>
      </w:r>
    </w:p>
    <w:p w14:paraId="47BDC2FE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There are 20 questions on the </w:t>
      </w:r>
      <w:proofErr w:type="gramStart"/>
      <w:r w:rsidRPr="004D7FF9">
        <w:rPr>
          <w:rFonts w:eastAsia="Calibri" w:cstheme="minorHAnsi"/>
          <w:szCs w:val="24"/>
        </w:rPr>
        <w:t>MCHAT</w:t>
      </w:r>
      <w:proofErr w:type="gramEnd"/>
      <w:r w:rsidRPr="004D7FF9">
        <w:rPr>
          <w:rFonts w:eastAsia="Calibri" w:cstheme="minorHAnsi"/>
          <w:szCs w:val="24"/>
        </w:rPr>
        <w:t xml:space="preserve"> and the parent has to respond with yes or no.</w:t>
      </w:r>
    </w:p>
    <w:p w14:paraId="55EE76B2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 In a completely normal child, all the answers will be yes except for 2, 5, and 12—those should be no.</w:t>
      </w:r>
    </w:p>
    <w:p w14:paraId="384C5E23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 To score the MCHAT count up how many </w:t>
      </w:r>
      <w:proofErr w:type="gramStart"/>
      <w:r w:rsidRPr="004D7FF9">
        <w:rPr>
          <w:rFonts w:eastAsia="Calibri" w:cstheme="minorHAnsi"/>
          <w:szCs w:val="24"/>
        </w:rPr>
        <w:t>no’s</w:t>
      </w:r>
      <w:proofErr w:type="gramEnd"/>
      <w:r w:rsidRPr="004D7FF9">
        <w:rPr>
          <w:rFonts w:eastAsia="Calibri" w:cstheme="minorHAnsi"/>
          <w:szCs w:val="24"/>
        </w:rPr>
        <w:t xml:space="preserve"> there are for the questions excluding 2, 5, and 12. If 2, 5 or 12 are answered yes add that to the total score. </w:t>
      </w:r>
    </w:p>
    <w:p w14:paraId="64C42587" w14:textId="77777777" w:rsidR="00087278" w:rsidRPr="004D7FF9" w:rsidRDefault="00087278" w:rsidP="00087278">
      <w:pPr>
        <w:widowControl w:val="0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The score can range from 0-20. </w:t>
      </w:r>
    </w:p>
    <w:p w14:paraId="53E08A74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682C58E2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8: Scoring</w:t>
      </w:r>
    </w:p>
    <w:p w14:paraId="085AC0A7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1C9D8563" w14:textId="77777777" w:rsidR="00087278" w:rsidRPr="004D7FF9" w:rsidRDefault="00087278" w:rsidP="00087278">
      <w:pPr>
        <w:widowControl w:val="0"/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the scoring categories for the MCHAT-R/F</w:t>
      </w:r>
    </w:p>
    <w:p w14:paraId="6212DBB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0883D087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9: Screening Stats</w:t>
      </w:r>
    </w:p>
    <w:p w14:paraId="43E384BD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0A681B42" w14:textId="77777777" w:rsidR="00087278" w:rsidRPr="004D7FF9" w:rsidRDefault="00087278" w:rsidP="00087278">
      <w:pPr>
        <w:widowControl w:val="0"/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explain the screening statistics for the MCHAT-R/F</w:t>
      </w:r>
    </w:p>
    <w:p w14:paraId="56EA693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73A8B492" w14:textId="77777777" w:rsidR="004D7FF9" w:rsidRDefault="004D7FF9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4CDD2922" w14:textId="77777777" w:rsidR="004D7FF9" w:rsidRDefault="004D7FF9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79D39D06" w14:textId="2A2447A4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b/>
          <w:szCs w:val="24"/>
        </w:rPr>
        <w:lastRenderedPageBreak/>
        <w:t>Slide 10: Screening Stats Continued</w:t>
      </w:r>
    </w:p>
    <w:p w14:paraId="463BEFE8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046F7386" w14:textId="77777777" w:rsidR="00087278" w:rsidRPr="004D7FF9" w:rsidRDefault="00087278" w:rsidP="00087278">
      <w:pPr>
        <w:widowControl w:val="0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explain continued scoring statistics as they relate to referral</w:t>
      </w:r>
    </w:p>
    <w:p w14:paraId="61C67DB7" w14:textId="77777777" w:rsidR="00087278" w:rsidRPr="004D7FF9" w:rsidRDefault="00087278" w:rsidP="00087278">
      <w:pPr>
        <w:rPr>
          <w:rFonts w:cstheme="minorHAnsi"/>
        </w:rPr>
      </w:pPr>
    </w:p>
    <w:p w14:paraId="16D1AFB2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11: Pause for Questions</w:t>
      </w:r>
    </w:p>
    <w:p w14:paraId="054E0DD1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1E74CFB6" w14:textId="77777777" w:rsidR="00087278" w:rsidRPr="004D7FF9" w:rsidRDefault="00087278" w:rsidP="00087278">
      <w:pPr>
        <w:widowControl w:val="0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address questions that may be in the parking lot or the chat (if completing the training virtually)</w:t>
      </w:r>
    </w:p>
    <w:p w14:paraId="02514938" w14:textId="77777777" w:rsidR="00087278" w:rsidRPr="004D7FF9" w:rsidRDefault="00087278" w:rsidP="00087278">
      <w:pPr>
        <w:rPr>
          <w:rFonts w:cstheme="minorHAnsi"/>
        </w:rPr>
      </w:pPr>
    </w:p>
    <w:p w14:paraId="0372A37E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12: Transition Slide - Step 2</w:t>
      </w:r>
    </w:p>
    <w:p w14:paraId="5FF6CA74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19C19F0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13: Scoring Outcomes</w:t>
      </w:r>
    </w:p>
    <w:p w14:paraId="33FE5A0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3FD0CF3B" w14:textId="77777777" w:rsidR="00087278" w:rsidRPr="004D7FF9" w:rsidRDefault="00087278" w:rsidP="00087278">
      <w:pPr>
        <w:widowControl w:val="0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explain scoring outcomes as they relate to the need for follow-up questions</w:t>
      </w:r>
    </w:p>
    <w:p w14:paraId="48AADA9B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14: When to do follow-up questions</w:t>
      </w:r>
    </w:p>
    <w:p w14:paraId="5D9153C8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2B4819F1" w14:textId="77777777" w:rsidR="00087278" w:rsidRPr="004D7FF9" w:rsidRDefault="00087278" w:rsidP="00087278">
      <w:pPr>
        <w:widowControl w:val="0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explain scoring outcomes as they relate to the need for follow-up questions</w:t>
      </w:r>
    </w:p>
    <w:p w14:paraId="0817F6D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1A644F4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1540FAE2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15: Follow-Up Example 1</w:t>
      </w:r>
    </w:p>
    <w:p w14:paraId="78E55F27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12805E12" w14:textId="77777777" w:rsidR="00087278" w:rsidRPr="004D7FF9" w:rsidRDefault="00087278" w:rsidP="00087278">
      <w:pPr>
        <w:widowControl w:val="0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review the process for completing follow-up questions </w:t>
      </w:r>
    </w:p>
    <w:p w14:paraId="61A5989A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28DC316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16: Follow-Up Example 2</w:t>
      </w:r>
    </w:p>
    <w:p w14:paraId="225FEDA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552CB9BE" w14:textId="77777777" w:rsidR="00087278" w:rsidRPr="004D7FF9" w:rsidRDefault="00087278" w:rsidP="00087278">
      <w:pPr>
        <w:widowControl w:val="0"/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review the process for completing follow-up questions </w:t>
      </w:r>
    </w:p>
    <w:p w14:paraId="2FDE8FF5" w14:textId="77777777" w:rsidR="00087278" w:rsidRPr="004D7FF9" w:rsidRDefault="00087278" w:rsidP="00087278">
      <w:pPr>
        <w:rPr>
          <w:rFonts w:cstheme="minorHAnsi"/>
        </w:rPr>
      </w:pPr>
    </w:p>
    <w:p w14:paraId="08456CFE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17: Follow-Up Scoring Sheet</w:t>
      </w:r>
    </w:p>
    <w:p w14:paraId="6A730E95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5B0360D0" w14:textId="77777777" w:rsidR="00087278" w:rsidRPr="004D7FF9" w:rsidRDefault="00087278" w:rsidP="00087278">
      <w:pPr>
        <w:widowControl w:val="0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review the follow-up scoring sheet </w:t>
      </w:r>
    </w:p>
    <w:p w14:paraId="2BA600FA" w14:textId="77777777" w:rsidR="00087278" w:rsidRPr="004D7FF9" w:rsidRDefault="00087278" w:rsidP="00087278">
      <w:pPr>
        <w:widowControl w:val="0"/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the same 20 questions are on the follow up. </w:t>
      </w:r>
    </w:p>
    <w:p w14:paraId="1A804280" w14:textId="77777777" w:rsidR="00087278" w:rsidRPr="004D7FF9" w:rsidRDefault="00087278" w:rsidP="00087278">
      <w:pPr>
        <w:widowControl w:val="0"/>
        <w:numPr>
          <w:ilvl w:val="1"/>
          <w:numId w:val="32"/>
        </w:numPr>
        <w:spacing w:after="0" w:line="240" w:lineRule="auto"/>
        <w:rPr>
          <w:rFonts w:cstheme="minorHAnsi"/>
        </w:rPr>
      </w:pPr>
      <w:proofErr w:type="spellStart"/>
      <w:r w:rsidRPr="004D7FF9">
        <w:rPr>
          <w:rFonts w:eastAsia="Calibri" w:cstheme="minorHAnsi"/>
          <w:szCs w:val="24"/>
        </w:rPr>
        <w:t>the</w:t>
      </w:r>
      <w:proofErr w:type="spellEnd"/>
      <w:r w:rsidRPr="004D7FF9">
        <w:rPr>
          <w:rFonts w:eastAsia="Calibri" w:cstheme="minorHAnsi"/>
          <w:szCs w:val="24"/>
        </w:rPr>
        <w:t xml:space="preserve"> follow up questions just provide more specific examples for the parent to understand the question better. </w:t>
      </w:r>
    </w:p>
    <w:p w14:paraId="4583ED82" w14:textId="77777777" w:rsidR="00087278" w:rsidRPr="004D7FF9" w:rsidRDefault="00087278" w:rsidP="00087278">
      <w:pPr>
        <w:rPr>
          <w:rFonts w:cstheme="minorHAnsi"/>
        </w:rPr>
      </w:pPr>
    </w:p>
    <w:p w14:paraId="713B793A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lastRenderedPageBreak/>
        <w:t>Slide 18: Case Examples - 1</w:t>
      </w:r>
    </w:p>
    <w:p w14:paraId="11A6A095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406B2701" w14:textId="77777777" w:rsidR="00087278" w:rsidRPr="004D7FF9" w:rsidRDefault="00087278" w:rsidP="00087278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case examples that demonstrate how to successfully implement the MCHAT R/F with different scores</w:t>
      </w:r>
    </w:p>
    <w:p w14:paraId="69C43803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27A5C573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19: Case Examples - 2</w:t>
      </w:r>
    </w:p>
    <w:p w14:paraId="1D949802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68984649" w14:textId="77777777" w:rsidR="00087278" w:rsidRPr="004D7FF9" w:rsidRDefault="00087278" w:rsidP="00087278">
      <w:pPr>
        <w:widowControl w:val="0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case examples that demonstrate how to successfully implement the MCHAT R/F with different scores</w:t>
      </w:r>
    </w:p>
    <w:p w14:paraId="34CD5C40" w14:textId="77777777" w:rsidR="00087278" w:rsidRPr="004D7FF9" w:rsidRDefault="00087278" w:rsidP="00087278">
      <w:pPr>
        <w:rPr>
          <w:rFonts w:cstheme="minorHAnsi"/>
        </w:rPr>
      </w:pPr>
    </w:p>
    <w:p w14:paraId="4558D526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20: Case Examples - 3</w:t>
      </w:r>
    </w:p>
    <w:p w14:paraId="7BF5DABC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21D54686" w14:textId="77777777" w:rsidR="00087278" w:rsidRPr="004D7FF9" w:rsidRDefault="00087278" w:rsidP="00087278">
      <w:pPr>
        <w:widowControl w:val="0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case examples that demonstrate how to successfully implement the MCHAT R/F with different scores</w:t>
      </w:r>
    </w:p>
    <w:p w14:paraId="0DFF4FA2" w14:textId="77777777" w:rsidR="00087278" w:rsidRPr="004D7FF9" w:rsidRDefault="00087278" w:rsidP="00087278">
      <w:pPr>
        <w:rPr>
          <w:rFonts w:cstheme="minorHAnsi"/>
        </w:rPr>
      </w:pPr>
    </w:p>
    <w:p w14:paraId="169EC23C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21 - Case Example 3 Continued</w:t>
      </w:r>
    </w:p>
    <w:p w14:paraId="638E3D1B" w14:textId="77777777" w:rsidR="00087278" w:rsidRPr="004D7FF9" w:rsidRDefault="00087278" w:rsidP="00087278">
      <w:pPr>
        <w:rPr>
          <w:rFonts w:cstheme="minorHAnsi"/>
        </w:rPr>
      </w:pPr>
    </w:p>
    <w:p w14:paraId="62CB0F52" w14:textId="77777777" w:rsidR="00087278" w:rsidRPr="004D7FF9" w:rsidRDefault="00087278" w:rsidP="00087278">
      <w:pPr>
        <w:rPr>
          <w:rFonts w:cstheme="minorHAnsi"/>
          <w:b/>
        </w:rPr>
      </w:pPr>
      <w:r w:rsidRPr="004D7FF9">
        <w:rPr>
          <w:rFonts w:cstheme="minorHAnsi"/>
          <w:b/>
        </w:rPr>
        <w:t>Slide 22 - Pause for Questions</w:t>
      </w:r>
    </w:p>
    <w:p w14:paraId="2317A6D1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5D675439" w14:textId="77777777" w:rsidR="00087278" w:rsidRPr="004D7FF9" w:rsidRDefault="00087278" w:rsidP="00087278">
      <w:pPr>
        <w:widowControl w:val="0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address questions that may be in the parking lot or the chat (if completing the training virtually)</w:t>
      </w:r>
    </w:p>
    <w:p w14:paraId="601706AA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6E67A08A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1886C6D8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23: ASD Screening Limitations</w:t>
      </w:r>
    </w:p>
    <w:p w14:paraId="058717ED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2AAD8F34" w14:textId="77777777" w:rsidR="00087278" w:rsidRPr="004D7FF9" w:rsidRDefault="00087278" w:rsidP="00087278">
      <w:pPr>
        <w:widowControl w:val="0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discuss limitations of the MCHAT R/F screening and the connection to ongoing surveillance as an important strategy for early identification</w:t>
      </w:r>
    </w:p>
    <w:p w14:paraId="5F5B88E4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559F8C36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24: FAQ</w:t>
      </w:r>
    </w:p>
    <w:p w14:paraId="64D2D758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079C421C" w14:textId="77777777" w:rsidR="00087278" w:rsidRPr="004D7FF9" w:rsidRDefault="00087278" w:rsidP="00087278">
      <w:pPr>
        <w:widowControl w:val="0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1st Five support includes navigating typical challenges a practice might encounter during implementation of the MCHAT R/F. We’ve thought ahead to some frequently asked questions. These are next.</w:t>
      </w:r>
    </w:p>
    <w:p w14:paraId="10A0D84F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50E57631" w14:textId="77777777" w:rsidR="004D7FF9" w:rsidRDefault="004D7FF9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059701A8" w14:textId="5B7FCCED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lastRenderedPageBreak/>
        <w:t>Slide 25: FAQ What if you forget all this?</w:t>
      </w:r>
    </w:p>
    <w:p w14:paraId="0D272AEE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32A695F9" w14:textId="77777777" w:rsidR="00087278" w:rsidRPr="004D7FF9" w:rsidRDefault="00087278" w:rsidP="00087278">
      <w:pPr>
        <w:widowControl w:val="0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provide support to the practice with strategies for how to recall specifics from this training</w:t>
      </w:r>
    </w:p>
    <w:p w14:paraId="3BD43D0F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58374CDA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26: FAQ Workflow</w:t>
      </w:r>
    </w:p>
    <w:p w14:paraId="5C8C3051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09268D90" w14:textId="77777777" w:rsidR="00087278" w:rsidRPr="004D7FF9" w:rsidRDefault="00087278" w:rsidP="00087278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present an option for a typical workflow to complete the MCHAT R/F</w:t>
      </w:r>
    </w:p>
    <w:p w14:paraId="271183A3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65F3D223" w14:textId="304D86CD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 xml:space="preserve">Slide 27 FAQ: My </w:t>
      </w:r>
      <w:r w:rsidR="004D7FF9">
        <w:rPr>
          <w:rFonts w:eastAsia="Calibri" w:cstheme="minorHAnsi"/>
          <w:b/>
          <w:szCs w:val="24"/>
        </w:rPr>
        <w:t>patient's</w:t>
      </w:r>
      <w:r w:rsidRPr="004D7FF9">
        <w:rPr>
          <w:rFonts w:eastAsia="Calibri" w:cstheme="minorHAnsi"/>
          <w:b/>
          <w:szCs w:val="24"/>
        </w:rPr>
        <w:t xml:space="preserve"> first language is not English</w:t>
      </w:r>
    </w:p>
    <w:p w14:paraId="55D18552" w14:textId="77777777" w:rsidR="00087278" w:rsidRPr="004D7FF9" w:rsidRDefault="00087278" w:rsidP="00087278">
      <w:pPr>
        <w:widowControl w:val="0"/>
        <w:spacing w:line="240" w:lineRule="auto"/>
        <w:ind w:left="720" w:hanging="360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Minimal talking points:</w:t>
      </w:r>
    </w:p>
    <w:p w14:paraId="61F47740" w14:textId="77777777" w:rsidR="00087278" w:rsidRPr="004D7FF9" w:rsidRDefault="00087278" w:rsidP="00087278">
      <w:pPr>
        <w:widowControl w:val="0"/>
        <w:numPr>
          <w:ilvl w:val="0"/>
          <w:numId w:val="20"/>
        </w:numPr>
        <w:spacing w:after="0" w:line="240" w:lineRule="auto"/>
        <w:ind w:hanging="220"/>
        <w:rPr>
          <w:rFonts w:cstheme="minorHAnsi"/>
        </w:rPr>
      </w:pPr>
      <w:r w:rsidRPr="004D7FF9">
        <w:rPr>
          <w:rFonts w:eastAsia="Calibri" w:cstheme="minorHAnsi"/>
          <w:szCs w:val="24"/>
        </w:rPr>
        <w:t>Review that MCHAT has free translations online via their website</w:t>
      </w:r>
    </w:p>
    <w:p w14:paraId="7A8FB1A1" w14:textId="77777777" w:rsidR="00087278" w:rsidRPr="004D7FF9" w:rsidRDefault="00087278" w:rsidP="00087278">
      <w:pPr>
        <w:widowControl w:val="0"/>
        <w:numPr>
          <w:ilvl w:val="0"/>
          <w:numId w:val="20"/>
        </w:numPr>
        <w:spacing w:after="0" w:line="240" w:lineRule="auto"/>
        <w:ind w:hanging="220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Consider bringing a copy of the printed MCHAT-R/F packet in English and printed questionnaires in languages commonly used in the office when you present. </w:t>
      </w:r>
    </w:p>
    <w:p w14:paraId="759E7674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5B3341D7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28 FAQ: Billing</w:t>
      </w:r>
    </w:p>
    <w:p w14:paraId="5871BF21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1EBE2FA7" w14:textId="77777777" w:rsidR="00087278" w:rsidRPr="004D7FF9" w:rsidRDefault="00087278" w:rsidP="00087278">
      <w:pPr>
        <w:widowControl w:val="0"/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provide information on billing for the MCHAT R/F</w:t>
      </w:r>
    </w:p>
    <w:p w14:paraId="0136EB45" w14:textId="77777777" w:rsidR="00087278" w:rsidRPr="004D7FF9" w:rsidRDefault="00087278" w:rsidP="00087278">
      <w:pPr>
        <w:widowControl w:val="0"/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1st Five Site Coordinators are not expected to be experts on billing or coding. Always encourage practices to work directly with their payers about reimbursement if there are specific questions. </w:t>
      </w:r>
    </w:p>
    <w:p w14:paraId="32EC622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317D37F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29 FAQ: Timing for Follow-Up Questions</w:t>
      </w:r>
    </w:p>
    <w:p w14:paraId="2BD92257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44071B64" w14:textId="77777777" w:rsidR="00087278" w:rsidRPr="004D7FF9" w:rsidRDefault="00087278" w:rsidP="00087278">
      <w:pPr>
        <w:widowControl w:val="0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a challenge practices may encounter is navigating unique scenarios for completion of the follow-up questions - review strategies for how to support the practice with completing the follow-up questions to overcome this typical barrier. </w:t>
      </w:r>
    </w:p>
    <w:p w14:paraId="5FB29ADD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</w:p>
    <w:p w14:paraId="61EBF609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t>Slide 30: Pause for Questions</w:t>
      </w:r>
    </w:p>
    <w:p w14:paraId="344AAABC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2F84C49E" w14:textId="77777777" w:rsidR="00087278" w:rsidRPr="004D7FF9" w:rsidRDefault="00087278" w:rsidP="00087278">
      <w:pPr>
        <w:widowControl w:val="0"/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address questions that may be in the parking lot or the chat (if completing the training virtually)</w:t>
      </w:r>
    </w:p>
    <w:p w14:paraId="13779E78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6556CBC7" w14:textId="77777777" w:rsidR="004D7FF9" w:rsidRDefault="004D7FF9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6A525B2F" w14:textId="77777777" w:rsidR="004D7FF9" w:rsidRDefault="004D7FF9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</w:p>
    <w:p w14:paraId="6F07167E" w14:textId="4DD47326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b/>
          <w:szCs w:val="24"/>
        </w:rPr>
      </w:pPr>
      <w:r w:rsidRPr="004D7FF9">
        <w:rPr>
          <w:rFonts w:eastAsia="Calibri" w:cstheme="minorHAnsi"/>
          <w:b/>
          <w:szCs w:val="24"/>
        </w:rPr>
        <w:lastRenderedPageBreak/>
        <w:t>Slide 31: 1st Five Support/Next Steps</w:t>
      </w:r>
    </w:p>
    <w:p w14:paraId="7DF6C2C0" w14:textId="77777777" w:rsidR="00087278" w:rsidRPr="004D7FF9" w:rsidRDefault="00087278" w:rsidP="00087278">
      <w:pPr>
        <w:widowControl w:val="0"/>
        <w:spacing w:line="240" w:lineRule="auto"/>
        <w:rPr>
          <w:rFonts w:eastAsia="Calibri" w:cstheme="minorHAnsi"/>
          <w:szCs w:val="24"/>
        </w:rPr>
      </w:pPr>
      <w:r w:rsidRPr="004D7FF9">
        <w:rPr>
          <w:rFonts w:eastAsia="Calibri" w:cstheme="minorHAnsi"/>
          <w:szCs w:val="24"/>
        </w:rPr>
        <w:t>Minimum talking points:</w:t>
      </w:r>
    </w:p>
    <w:p w14:paraId="7E9A3E00" w14:textId="77777777" w:rsidR="00087278" w:rsidRPr="004D7FF9" w:rsidRDefault="00087278" w:rsidP="00087278">
      <w:pPr>
        <w:widowControl w:val="0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 xml:space="preserve">encourage connection for support and when questions arise. </w:t>
      </w:r>
    </w:p>
    <w:p w14:paraId="7E4988BF" w14:textId="77777777" w:rsidR="00087278" w:rsidRPr="004D7FF9" w:rsidRDefault="00087278" w:rsidP="00087278">
      <w:pPr>
        <w:widowControl w:val="0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4D7FF9">
        <w:rPr>
          <w:rFonts w:eastAsia="Calibri" w:cstheme="minorHAnsi"/>
          <w:szCs w:val="24"/>
        </w:rPr>
        <w:t>plan for follow-up with the practice at an agreed upon time (post implementation to confirm screening launch and address any initial concerns that might interrupt screening process.)</w:t>
      </w:r>
    </w:p>
    <w:p w14:paraId="14F168F7" w14:textId="77777777" w:rsidR="004D7FF9" w:rsidRDefault="004D7FF9" w:rsidP="005F587F">
      <w:pPr>
        <w:pStyle w:val="Heading2"/>
        <w:rPr>
          <w:rFonts w:asciiTheme="minorHAnsi" w:hAnsiTheme="minorHAnsi" w:cstheme="minorHAnsi"/>
        </w:rPr>
      </w:pPr>
    </w:p>
    <w:p w14:paraId="6610063D" w14:textId="748106DE" w:rsidR="005F587F" w:rsidRPr="004D7FF9" w:rsidRDefault="00981D0E" w:rsidP="005F587F">
      <w:pPr>
        <w:pStyle w:val="Heading2"/>
        <w:rPr>
          <w:rFonts w:asciiTheme="minorHAnsi" w:hAnsiTheme="minorHAnsi" w:cstheme="minorHAnsi"/>
        </w:rPr>
      </w:pPr>
      <w:r w:rsidRPr="004D7FF9">
        <w:rPr>
          <w:rFonts w:asciiTheme="minorHAnsi" w:hAnsiTheme="minorHAnsi" w:cstheme="minorHAnsi"/>
        </w:rPr>
        <w:t>MCHAT R/F Website w/Screener</w:t>
      </w:r>
    </w:p>
    <w:p w14:paraId="0FCC3FEF" w14:textId="77777777" w:rsidR="005F587F" w:rsidRPr="004D7FF9" w:rsidRDefault="00981D0E" w:rsidP="00981D0E">
      <w:pPr>
        <w:rPr>
          <w:rFonts w:eastAsia="Arial" w:cstheme="minorHAnsi"/>
          <w:color w:val="1155CC"/>
          <w:u w:val="single"/>
        </w:rPr>
      </w:pPr>
      <w:hyperlink r:id="rId11">
        <w:r w:rsidRPr="004D7FF9">
          <w:rPr>
            <w:rFonts w:eastAsia="Arial" w:cstheme="minorHAnsi"/>
            <w:color w:val="1155CC"/>
            <w:u w:val="single"/>
          </w:rPr>
          <w:t>https://www.mchatscreen.com/</w:t>
        </w:r>
      </w:hyperlink>
    </w:p>
    <w:p w14:paraId="29BD6B46" w14:textId="0C547804" w:rsidR="00981D0E" w:rsidRPr="004D7FF9" w:rsidRDefault="00981D0E" w:rsidP="00981D0E">
      <w:pPr>
        <w:shd w:val="clear" w:color="auto" w:fill="FFFFFF"/>
        <w:spacing w:after="0"/>
        <w:rPr>
          <w:rFonts w:cstheme="minorHAnsi"/>
          <w:i/>
          <w:szCs w:val="24"/>
        </w:rPr>
      </w:pPr>
      <w:r w:rsidRPr="004D7FF9">
        <w:rPr>
          <w:rFonts w:cstheme="minorHAnsi"/>
          <w:i/>
          <w:szCs w:val="24"/>
        </w:rPr>
        <w:t xml:space="preserve">If there are questions about </w:t>
      </w:r>
      <w:r w:rsidR="004D7FF9">
        <w:rPr>
          <w:rFonts w:cstheme="minorHAnsi"/>
          <w:i/>
          <w:szCs w:val="24"/>
        </w:rPr>
        <w:t xml:space="preserve">the </w:t>
      </w:r>
      <w:r w:rsidRPr="004D7FF9">
        <w:rPr>
          <w:rFonts w:cstheme="minorHAnsi"/>
          <w:i/>
          <w:szCs w:val="24"/>
        </w:rPr>
        <w:t xml:space="preserve">implementation of the MCHAT R/F Training Tool-Kit, please contact your 1st Five Consultant. </w:t>
      </w:r>
    </w:p>
    <w:bookmarkEnd w:id="0"/>
    <w:p w14:paraId="62C91FCA" w14:textId="77777777" w:rsidR="00981D0E" w:rsidRPr="004D7FF9" w:rsidRDefault="00981D0E" w:rsidP="00981D0E">
      <w:pPr>
        <w:rPr>
          <w:rFonts w:cstheme="minorHAnsi"/>
        </w:rPr>
      </w:pPr>
    </w:p>
    <w:sectPr w:rsidR="00981D0E" w:rsidRPr="004D7FF9" w:rsidSect="00E368B6">
      <w:headerReference w:type="default" r:id="rId12"/>
      <w:foot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36A6" w14:textId="77777777" w:rsidR="004D7FF9" w:rsidRDefault="004D7FF9" w:rsidP="00ED0FA2">
      <w:pPr>
        <w:spacing w:after="0" w:line="240" w:lineRule="auto"/>
      </w:pPr>
      <w:r>
        <w:separator/>
      </w:r>
    </w:p>
  </w:endnote>
  <w:endnote w:type="continuationSeparator" w:id="0">
    <w:p w14:paraId="007FD279" w14:textId="77777777" w:rsidR="004D7FF9" w:rsidRDefault="004D7FF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271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333C9" w14:textId="77777777" w:rsidR="006C39C0" w:rsidRDefault="006C39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679F0" w14:textId="77777777" w:rsidR="003744DB" w:rsidRDefault="00374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2DB" w14:textId="77777777" w:rsidR="004D7FF9" w:rsidRDefault="004D7FF9" w:rsidP="00ED0FA2">
      <w:pPr>
        <w:spacing w:after="0" w:line="240" w:lineRule="auto"/>
      </w:pPr>
      <w:r>
        <w:separator/>
      </w:r>
    </w:p>
  </w:footnote>
  <w:footnote w:type="continuationSeparator" w:id="0">
    <w:p w14:paraId="5A12FD54" w14:textId="77777777" w:rsidR="004D7FF9" w:rsidRDefault="004D7FF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BE4B" w14:textId="77777777" w:rsidR="00ED0FA2" w:rsidRPr="00A77F60" w:rsidRDefault="000114F7" w:rsidP="00A77F60">
    <w:pPr>
      <w:pStyle w:val="Header"/>
    </w:pPr>
    <w:r>
      <w:rPr>
        <w:noProof/>
      </w:rPr>
      <w:drawing>
        <wp:inline distT="0" distB="0" distL="0" distR="0" wp14:anchorId="0DD8DAE2" wp14:editId="5351BF28">
          <wp:extent cx="3486150" cy="341500"/>
          <wp:effectExtent l="0" t="0" r="0" b="1905"/>
          <wp:docPr id="41169789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97890" name="Graphic 411697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101" cy="346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4D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F4C70" wp14:editId="05C427C1">
              <wp:simplePos x="0" y="0"/>
              <wp:positionH relativeFrom="column">
                <wp:posOffset>-1</wp:posOffset>
              </wp:positionH>
              <wp:positionV relativeFrom="paragraph">
                <wp:posOffset>514350</wp:posOffset>
              </wp:positionV>
              <wp:extent cx="5895975" cy="0"/>
              <wp:effectExtent l="0" t="0" r="0" b="0"/>
              <wp:wrapNone/>
              <wp:docPr id="869836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0CB5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5pt" to="464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/OsQEAANgDAAAOAAAAZHJzL2Uyb0RvYy54bWysU8FuGyEQvVfqPyDuNetIbpOV1zkkSi9V&#10;GrXNBxB28CIBg4B613+fAdvrqElVteplloF5jzeP2fX15CzbQUwGfceXi4Yz8Ap747cdf/xx9+GS&#10;s5Sl76VFDx3fQ+LXm/fv1mNo4QIHtD1ERiQ+tWPo+JBzaIVIagAn0wIDeDrUGJ3MlMat6KMcid1Z&#10;cdE0H8WIsQ8RFaREu7eHQ76p/FqDyl+1TpCZ7ThpyzXGGp9KFJu1bLdRhsGoowz5DyqcNJ4unalu&#10;ZZbsZzSvqJxRERPqvFDoBGptFNQeqJtl80s33wcZoPZC5qQw25T+H6263934h0g2jCG1KTzE0sWk&#10;oytf0sematZ+NgumzBRtri6vVlefVpyp05k4A0NM+TOgY2XRcWt86UO2cvclZbqMSk8lZdv6EhNa&#10;098Za2tSJgBubGQ7SW8nlQKfl+W9CPuikrKCFmf5dZX3Fg7M30Az05PgZVVQJ+t3vNZTdYFpUjED&#10;mz8Dj/UFCnXq/gY8I+rN6PMMdsZjfOv2PJ2s0If6kwOHvosFT9jv68NWa2h8qnPHUS/z+TKv8PMP&#10;uXkGAAD//wMAUEsDBBQABgAIAAAAIQBCKMyF3QAAAAYBAAAPAAAAZHJzL2Rvd25yZXYueG1sTI9B&#10;S8NAEIXvgv9hGcGb3TSgxDSbUgpiLUhpFdrjNjsm0exs2N026b93xIOehjdveO+bYj7aTpzRh9aR&#10;gukkAYFUOdNSreD97ekuAxGiJqM7R6jgggHm5fVVoXPjBtrieRdrwSEUcq2gibHPpQxVg1aHieuR&#10;2Ptw3urI0tfSeD1wuO1kmiQP0uqWuKHRPS4brL52J6vg1a9Wy8X68kmbgx326Xq/eRmflbq9GRcz&#10;EBHH+HcMP/iMDiUzHd2JTBCdAn4kKsimPNl9TLN7EMffhSwL+R+//AYAAP//AwBQSwECLQAUAAYA&#10;CAAAACEAtoM4kv4AAADhAQAAEwAAAAAAAAAAAAAAAAAAAAAAW0NvbnRlbnRfVHlwZXNdLnhtbFBL&#10;AQItABQABgAIAAAAIQA4/SH/1gAAAJQBAAALAAAAAAAAAAAAAAAAAC8BAABfcmVscy8ucmVsc1BL&#10;AQItABQABgAIAAAAIQAuo6/OsQEAANgDAAAOAAAAAAAAAAAAAAAAAC4CAABkcnMvZTJvRG9jLnht&#10;bFBLAQItABQABgAIAAAAIQBCKMyF3QAAAAYBAAAPAAAAAAAAAAAAAAAAAAsEAABkcnMvZG93bnJl&#10;di54bWxQSwUGAAAAAAQABADzAAAAFQUAAAAA&#10;" strokecolor="#04627a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64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32992"/>
    <w:multiLevelType w:val="multilevel"/>
    <w:tmpl w:val="1B587AE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1C82"/>
    <w:multiLevelType w:val="multilevel"/>
    <w:tmpl w:val="98FA1B8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9CC58E3"/>
    <w:multiLevelType w:val="multilevel"/>
    <w:tmpl w:val="AF3AC7E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A1E38A5"/>
    <w:multiLevelType w:val="hybridMultilevel"/>
    <w:tmpl w:val="8B8262FC"/>
    <w:lvl w:ilvl="0" w:tplc="5740986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36545"/>
    <w:multiLevelType w:val="multilevel"/>
    <w:tmpl w:val="90E4EDB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23F36447"/>
    <w:multiLevelType w:val="multilevel"/>
    <w:tmpl w:val="9B6CEAD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241F6CE1"/>
    <w:multiLevelType w:val="hybridMultilevel"/>
    <w:tmpl w:val="9286CD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BC7252"/>
    <w:multiLevelType w:val="hybridMultilevel"/>
    <w:tmpl w:val="888A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67535"/>
    <w:multiLevelType w:val="multilevel"/>
    <w:tmpl w:val="716010F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1" w15:restartNumberingAfterBreak="0">
    <w:nsid w:val="2A070894"/>
    <w:multiLevelType w:val="multilevel"/>
    <w:tmpl w:val="A056B4A6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D27FB5"/>
    <w:multiLevelType w:val="hybridMultilevel"/>
    <w:tmpl w:val="1160EF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F52B1"/>
    <w:multiLevelType w:val="multilevel"/>
    <w:tmpl w:val="33E2B8C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2B7C6F28"/>
    <w:multiLevelType w:val="hybridMultilevel"/>
    <w:tmpl w:val="3830F7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33724"/>
    <w:multiLevelType w:val="multilevel"/>
    <w:tmpl w:val="1D70C27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2F5C2372"/>
    <w:multiLevelType w:val="multilevel"/>
    <w:tmpl w:val="2194986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2F8D6942"/>
    <w:multiLevelType w:val="multilevel"/>
    <w:tmpl w:val="D166ABA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35083407"/>
    <w:multiLevelType w:val="multilevel"/>
    <w:tmpl w:val="7656594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3736542E"/>
    <w:multiLevelType w:val="multilevel"/>
    <w:tmpl w:val="3C782A7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37C54D41"/>
    <w:multiLevelType w:val="multilevel"/>
    <w:tmpl w:val="E88845D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1" w15:restartNumberingAfterBreak="0">
    <w:nsid w:val="3A256D74"/>
    <w:multiLevelType w:val="multilevel"/>
    <w:tmpl w:val="B8CAB14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74472"/>
    <w:multiLevelType w:val="multilevel"/>
    <w:tmpl w:val="3CB2DC9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46E46EFE"/>
    <w:multiLevelType w:val="multilevel"/>
    <w:tmpl w:val="B6F66BB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49174149"/>
    <w:multiLevelType w:val="multilevel"/>
    <w:tmpl w:val="87347D4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 w15:restartNumberingAfterBreak="0">
    <w:nsid w:val="49AB7B61"/>
    <w:multiLevelType w:val="multilevel"/>
    <w:tmpl w:val="F1945B7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6B76"/>
    <w:multiLevelType w:val="multilevel"/>
    <w:tmpl w:val="9746C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CD552D4"/>
    <w:multiLevelType w:val="multilevel"/>
    <w:tmpl w:val="958206E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0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E45E3"/>
    <w:multiLevelType w:val="multilevel"/>
    <w:tmpl w:val="B292399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2" w15:restartNumberingAfterBreak="0">
    <w:nsid w:val="5822571A"/>
    <w:multiLevelType w:val="multilevel"/>
    <w:tmpl w:val="B6E4C40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3" w15:restartNumberingAfterBreak="0">
    <w:nsid w:val="5E384FC0"/>
    <w:multiLevelType w:val="multilevel"/>
    <w:tmpl w:val="7AF68AB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4" w15:restartNumberingAfterBreak="0">
    <w:nsid w:val="628D1726"/>
    <w:multiLevelType w:val="multilevel"/>
    <w:tmpl w:val="9096362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5" w15:restartNumberingAfterBreak="0">
    <w:nsid w:val="63032319"/>
    <w:multiLevelType w:val="hybridMultilevel"/>
    <w:tmpl w:val="7FCE8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07E8E"/>
    <w:multiLevelType w:val="hybridMultilevel"/>
    <w:tmpl w:val="E7728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725F9"/>
    <w:multiLevelType w:val="multilevel"/>
    <w:tmpl w:val="D2A0EB02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 w15:restartNumberingAfterBreak="0">
    <w:nsid w:val="6CF825BC"/>
    <w:multiLevelType w:val="multilevel"/>
    <w:tmpl w:val="93D608F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E76FC"/>
    <w:multiLevelType w:val="multilevel"/>
    <w:tmpl w:val="E160BB6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1" w15:restartNumberingAfterBreak="0">
    <w:nsid w:val="73100464"/>
    <w:multiLevelType w:val="multilevel"/>
    <w:tmpl w:val="416E6A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43" w15:restartNumberingAfterBreak="0">
    <w:nsid w:val="7E775F00"/>
    <w:multiLevelType w:val="multilevel"/>
    <w:tmpl w:val="B5FCF1F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016568147">
    <w:abstractNumId w:val="22"/>
  </w:num>
  <w:num w:numId="2" w16cid:durableId="529688289">
    <w:abstractNumId w:val="30"/>
  </w:num>
  <w:num w:numId="3" w16cid:durableId="655499794">
    <w:abstractNumId w:val="2"/>
  </w:num>
  <w:num w:numId="4" w16cid:durableId="1634825399">
    <w:abstractNumId w:val="3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42"/>
  </w:num>
  <w:num w:numId="8" w16cid:durableId="1913923778">
    <w:abstractNumId w:val="27"/>
  </w:num>
  <w:num w:numId="9" w16cid:durableId="1386636015">
    <w:abstractNumId w:val="12"/>
  </w:num>
  <w:num w:numId="10" w16cid:durableId="864052513">
    <w:abstractNumId w:val="35"/>
  </w:num>
  <w:num w:numId="11" w16cid:durableId="1045448188">
    <w:abstractNumId w:val="8"/>
  </w:num>
  <w:num w:numId="12" w16cid:durableId="1795782237">
    <w:abstractNumId w:val="14"/>
  </w:num>
  <w:num w:numId="13" w16cid:durableId="1496845719">
    <w:abstractNumId w:val="5"/>
  </w:num>
  <w:num w:numId="14" w16cid:durableId="1634601991">
    <w:abstractNumId w:val="9"/>
  </w:num>
  <w:num w:numId="15" w16cid:durableId="1076324215">
    <w:abstractNumId w:val="11"/>
  </w:num>
  <w:num w:numId="16" w16cid:durableId="425268564">
    <w:abstractNumId w:val="28"/>
  </w:num>
  <w:num w:numId="17" w16cid:durableId="853572031">
    <w:abstractNumId w:val="36"/>
  </w:num>
  <w:num w:numId="18" w16cid:durableId="1664701812">
    <w:abstractNumId w:val="43"/>
  </w:num>
  <w:num w:numId="19" w16cid:durableId="558325075">
    <w:abstractNumId w:val="21"/>
  </w:num>
  <w:num w:numId="20" w16cid:durableId="1629627082">
    <w:abstractNumId w:val="37"/>
  </w:num>
  <w:num w:numId="21" w16cid:durableId="790782719">
    <w:abstractNumId w:val="1"/>
  </w:num>
  <w:num w:numId="22" w16cid:durableId="1198858533">
    <w:abstractNumId w:val="38"/>
  </w:num>
  <w:num w:numId="23" w16cid:durableId="354114851">
    <w:abstractNumId w:val="10"/>
  </w:num>
  <w:num w:numId="24" w16cid:durableId="1308558496">
    <w:abstractNumId w:val="20"/>
  </w:num>
  <w:num w:numId="25" w16cid:durableId="1369333347">
    <w:abstractNumId w:val="4"/>
  </w:num>
  <w:num w:numId="26" w16cid:durableId="545945205">
    <w:abstractNumId w:val="13"/>
  </w:num>
  <w:num w:numId="27" w16cid:durableId="478814244">
    <w:abstractNumId w:val="18"/>
  </w:num>
  <w:num w:numId="28" w16cid:durableId="743911094">
    <w:abstractNumId w:val="7"/>
  </w:num>
  <w:num w:numId="29" w16cid:durableId="1275750494">
    <w:abstractNumId w:val="3"/>
  </w:num>
  <w:num w:numId="30" w16cid:durableId="1984701351">
    <w:abstractNumId w:val="15"/>
  </w:num>
  <w:num w:numId="31" w16cid:durableId="808787408">
    <w:abstractNumId w:val="6"/>
  </w:num>
  <w:num w:numId="32" w16cid:durableId="862978537">
    <w:abstractNumId w:val="25"/>
  </w:num>
  <w:num w:numId="33" w16cid:durableId="456608872">
    <w:abstractNumId w:val="26"/>
  </w:num>
  <w:num w:numId="34" w16cid:durableId="727414821">
    <w:abstractNumId w:val="34"/>
  </w:num>
  <w:num w:numId="35" w16cid:durableId="1356729085">
    <w:abstractNumId w:val="23"/>
  </w:num>
  <w:num w:numId="36" w16cid:durableId="2125297884">
    <w:abstractNumId w:val="31"/>
  </w:num>
  <w:num w:numId="37" w16cid:durableId="33508510">
    <w:abstractNumId w:val="29"/>
  </w:num>
  <w:num w:numId="38" w16cid:durableId="1590963446">
    <w:abstractNumId w:val="17"/>
  </w:num>
  <w:num w:numId="39" w16cid:durableId="535698167">
    <w:abstractNumId w:val="32"/>
  </w:num>
  <w:num w:numId="40" w16cid:durableId="1647667102">
    <w:abstractNumId w:val="40"/>
  </w:num>
  <w:num w:numId="41" w16cid:durableId="1797528315">
    <w:abstractNumId w:val="24"/>
  </w:num>
  <w:num w:numId="42" w16cid:durableId="1355695156">
    <w:abstractNumId w:val="16"/>
  </w:num>
  <w:num w:numId="43" w16cid:durableId="2039770591">
    <w:abstractNumId w:val="19"/>
  </w:num>
  <w:num w:numId="44" w16cid:durableId="1430926847">
    <w:abstractNumId w:val="41"/>
  </w:num>
  <w:num w:numId="45" w16cid:durableId="14458781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F9"/>
    <w:rsid w:val="000114F7"/>
    <w:rsid w:val="00034407"/>
    <w:rsid w:val="00051975"/>
    <w:rsid w:val="00087278"/>
    <w:rsid w:val="000B5F31"/>
    <w:rsid w:val="000D351B"/>
    <w:rsid w:val="001F66B9"/>
    <w:rsid w:val="00342B93"/>
    <w:rsid w:val="003744DB"/>
    <w:rsid w:val="003D4E77"/>
    <w:rsid w:val="004D7FF9"/>
    <w:rsid w:val="004E77FB"/>
    <w:rsid w:val="00521A34"/>
    <w:rsid w:val="00547BAE"/>
    <w:rsid w:val="005F587F"/>
    <w:rsid w:val="006303C7"/>
    <w:rsid w:val="006C39C0"/>
    <w:rsid w:val="0071057A"/>
    <w:rsid w:val="00714B6E"/>
    <w:rsid w:val="00733588"/>
    <w:rsid w:val="007857C7"/>
    <w:rsid w:val="00787B92"/>
    <w:rsid w:val="007C1BF1"/>
    <w:rsid w:val="007F40EB"/>
    <w:rsid w:val="00856E58"/>
    <w:rsid w:val="008B00EA"/>
    <w:rsid w:val="008C4366"/>
    <w:rsid w:val="008D6F19"/>
    <w:rsid w:val="008F3462"/>
    <w:rsid w:val="009022EC"/>
    <w:rsid w:val="00903F88"/>
    <w:rsid w:val="00914BD3"/>
    <w:rsid w:val="00931436"/>
    <w:rsid w:val="009468BA"/>
    <w:rsid w:val="009472CF"/>
    <w:rsid w:val="00960E65"/>
    <w:rsid w:val="00967CE9"/>
    <w:rsid w:val="009800A3"/>
    <w:rsid w:val="00981D0E"/>
    <w:rsid w:val="00985941"/>
    <w:rsid w:val="009B5B7D"/>
    <w:rsid w:val="00A30F34"/>
    <w:rsid w:val="00A53B32"/>
    <w:rsid w:val="00A57921"/>
    <w:rsid w:val="00A57AAD"/>
    <w:rsid w:val="00A63588"/>
    <w:rsid w:val="00A77F60"/>
    <w:rsid w:val="00A828ED"/>
    <w:rsid w:val="00B33E59"/>
    <w:rsid w:val="00B4635E"/>
    <w:rsid w:val="00B64635"/>
    <w:rsid w:val="00BF43AA"/>
    <w:rsid w:val="00C515D8"/>
    <w:rsid w:val="00C51F13"/>
    <w:rsid w:val="00C86795"/>
    <w:rsid w:val="00CB65A3"/>
    <w:rsid w:val="00D0020C"/>
    <w:rsid w:val="00D36BC3"/>
    <w:rsid w:val="00D817D2"/>
    <w:rsid w:val="00DA1414"/>
    <w:rsid w:val="00DC7EF2"/>
    <w:rsid w:val="00DE0E1F"/>
    <w:rsid w:val="00E368B6"/>
    <w:rsid w:val="00E42391"/>
    <w:rsid w:val="00E56796"/>
    <w:rsid w:val="00E84ABA"/>
    <w:rsid w:val="00EA6A0F"/>
    <w:rsid w:val="00ED0FA2"/>
    <w:rsid w:val="00F46620"/>
    <w:rsid w:val="00F707FA"/>
    <w:rsid w:val="00FA5524"/>
    <w:rsid w:val="00FB7D1A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A81B"/>
  <w15:chartTrackingRefBased/>
  <w15:docId w15:val="{A98C41B6-03B4-42F2-9EA9-C23D6C8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3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0EB"/>
    <w:pPr>
      <w:keepNext/>
      <w:keepLines/>
      <w:spacing w:before="18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0EB"/>
    <w:pPr>
      <w:keepNext/>
      <w:keepLines/>
      <w:spacing w:before="18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F13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40EB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40EB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chatscreen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hnet\Downloads\MCHAT%20R.F%20Training%20Notes%20ONLY%20January%202025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c83af-5ba6-4565-b73d-4c887c44d77b">
      <Terms xmlns="http://schemas.microsoft.com/office/infopath/2007/PartnerControls"/>
    </lcf76f155ced4ddcb4097134ff3c332f>
    <TaxCatchAll xmlns="a850d1ef-3d03-4347-a68d-fd47cf9ff2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F0120D21F564FB3CE8B1834E2A6BD" ma:contentTypeVersion="15" ma:contentTypeDescription="Create a new document." ma:contentTypeScope="" ma:versionID="93304fbf269e0274b9a0e623d213bc8e">
  <xsd:schema xmlns:xsd="http://www.w3.org/2001/XMLSchema" xmlns:xs="http://www.w3.org/2001/XMLSchema" xmlns:p="http://schemas.microsoft.com/office/2006/metadata/properties" xmlns:ns2="b9ec83af-5ba6-4565-b73d-4c887c44d77b" xmlns:ns3="a850d1ef-3d03-4347-a68d-fd47cf9ff291" targetNamespace="http://schemas.microsoft.com/office/2006/metadata/properties" ma:root="true" ma:fieldsID="34d989a3eeae49a1d576bd655dbf047b" ns2:_="" ns3:_="">
    <xsd:import namespace="b9ec83af-5ba6-4565-b73d-4c887c44d77b"/>
    <xsd:import namespace="a850d1ef-3d03-4347-a68d-fd47cf9f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83af-5ba6-4565-b73d-4c887c44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d1ef-3d03-4347-a68d-fd47cf9f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d52135-9ec6-40c6-bd09-7789e4576050}" ma:internalName="TaxCatchAll" ma:showField="CatchAllData" ma:web="a850d1ef-3d03-4347-a68d-fd47cf9ff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3FF8-E21B-4117-A029-68D570F8AE32}">
  <ds:schemaRefs>
    <ds:schemaRef ds:uri="http://schemas.microsoft.com/office/2006/metadata/properties"/>
    <ds:schemaRef ds:uri="http://schemas.microsoft.com/office/infopath/2007/PartnerControls"/>
    <ds:schemaRef ds:uri="b9ec83af-5ba6-4565-b73d-4c887c44d77b"/>
    <ds:schemaRef ds:uri="a850d1ef-3d03-4347-a68d-fd47cf9ff291"/>
  </ds:schemaRefs>
</ds:datastoreItem>
</file>

<file path=customXml/itemProps2.xml><?xml version="1.0" encoding="utf-8"?>
<ds:datastoreItem xmlns:ds="http://schemas.openxmlformats.org/officeDocument/2006/customXml" ds:itemID="{007EC187-37F9-4E13-B8DA-0CCE4514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c83af-5ba6-4565-b73d-4c887c44d77b"/>
    <ds:schemaRef ds:uri="a850d1ef-3d03-4347-a68d-fd47cf9f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38262-9F06-47BC-8A65-85DBE9308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MCHAT R.F Training Notes ONLY January 2025</Template>
  <TotalTime>2</TotalTime>
  <Pages>6</Pages>
  <Words>1112</Words>
  <Characters>5741</Characters>
  <Application>Microsoft Office Word</Application>
  <DocSecurity>0</DocSecurity>
  <Lines>185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Schnetter, Michaela [HHS]</dc:creator>
  <cp:keywords/>
  <dc:description/>
  <cp:lastModifiedBy>Schnetter, Michaela [HHS]</cp:lastModifiedBy>
  <cp:revision>1</cp:revision>
  <dcterms:created xsi:type="dcterms:W3CDTF">2025-02-06T21:04:00Z</dcterms:created>
  <dcterms:modified xsi:type="dcterms:W3CDTF">2025-02-06T21:06:00Z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0x010100EB0F0120D21F564FB3CE8B1834E2A6BD</vt:lpwstr>
  </property>
  <property fmtid="{D5CDD505-2E9C-101B-9397-08002B2CF9AE}" pid="3" name="MediaServiceImageTags">
    <vt:lpwstr/>
  </property>
  <property fmtid="{D5CDD505-2E9C-101B-9397-08002B2CF9AE}" pid="4" name="GrammarlyDocumentId">
    <vt:lpwstr>4ee0a57b-1fa8-4d3b-b7d6-5be659e35b9c</vt:lpwstr>
  </property>
</Properties>
</file>