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DF8F" w14:textId="77777777" w:rsidR="002A75E9" w:rsidRDefault="002A75E9">
      <w:pPr>
        <w:rPr>
          <w:rFonts w:ascii="Montserrat" w:hAnsi="Montserrat"/>
          <w:b/>
          <w:bCs/>
          <w:color w:val="FF0000"/>
        </w:rPr>
      </w:pPr>
    </w:p>
    <w:p w14:paraId="1D08209B" w14:textId="77777777" w:rsidR="002A75E9" w:rsidRDefault="002A75E9">
      <w:pPr>
        <w:rPr>
          <w:rFonts w:ascii="Montserrat" w:hAnsi="Montserrat"/>
          <w:b/>
          <w:bCs/>
          <w:color w:val="FF0000"/>
        </w:rPr>
      </w:pPr>
    </w:p>
    <w:p w14:paraId="5BD7A1DD" w14:textId="77777777" w:rsidR="0005220C" w:rsidRDefault="00CA144D">
      <w:pPr>
        <w:rPr>
          <w:rFonts w:ascii="Montserrat" w:hAnsi="Montserrat"/>
          <w:b/>
          <w:bCs/>
          <w:color w:val="FF0000"/>
        </w:rPr>
      </w:pPr>
      <w:r>
        <w:rPr>
          <w:rFonts w:ascii="Montserrat" w:eastAsia="Montserrat" w:hAnsi="Montserrat" w:cs="Times New Roman"/>
          <w:b/>
          <w:bCs/>
          <w:color w:val="FF0000"/>
          <w:lang w:val="es-ES_tradnl"/>
        </w:rPr>
        <w:t>Publicaciones orgánicas en redes sociales sobre el herpes zóster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5760"/>
      </w:tblGrid>
      <w:tr w:rsidR="00E536BC" w14:paraId="7985AA78" w14:textId="77777777" w:rsidTr="00FD3837">
        <w:tc>
          <w:tcPr>
            <w:tcW w:w="5845" w:type="dxa"/>
          </w:tcPr>
          <w:p w14:paraId="7A698707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89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 xml:space="preserve">¿Sabía que 1 de cada 3 adultos tendrá herpes zóster? Si tiene 50 años o más, hable con su proveedor de atención médica sobre la vacuna contra el herpes zóster: su mejor </w:t>
            </w:r>
            <w:r>
              <w:rPr>
                <w:rFonts w:ascii="Montserrat" w:eastAsia="Montserrat" w:hAnsi="Montserrat" w:cs="SF Compact Display"/>
                <w:lang w:val="es-ES_tradnl"/>
              </w:rPr>
              <w:t>protección contra el virus y sus riesgos graves para la salud.</w:t>
            </w:r>
          </w:p>
          <w:p w14:paraId="3D6E1F63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89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>Obtenga más información en https://hhs.iowa.gov/immunization/ask-me.</w:t>
            </w:r>
          </w:p>
          <w:p w14:paraId="44B6FEF1" w14:textId="77777777" w:rsidR="00FD3837" w:rsidRPr="002A75E9" w:rsidRDefault="00CA144D" w:rsidP="0013473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>Fuente: CDC</w:t>
            </w:r>
          </w:p>
        </w:tc>
        <w:tc>
          <w:tcPr>
            <w:tcW w:w="5760" w:type="dxa"/>
          </w:tcPr>
          <w:p w14:paraId="3B5F458F" w14:textId="678E3FB1" w:rsidR="00FD3837" w:rsidRDefault="00CA144D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5E3A45AB" wp14:editId="7C8F86E9">
                  <wp:extent cx="1809317" cy="1809317"/>
                  <wp:effectExtent l="0" t="0" r="0" b="0"/>
                  <wp:docPr id="167411740" name="Picture 2" descr="A person and person tal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11740" name="Picture 2" descr="A person and person talk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55" cy="183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</w:rPr>
              <w:t xml:space="preserve">  </w:t>
            </w:r>
          </w:p>
          <w:p w14:paraId="50FC48E7" w14:textId="0797C76E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  <w:tr w:rsidR="00E536BC" w14:paraId="7AAF6FA5" w14:textId="77777777" w:rsidTr="00FD3837">
        <w:tc>
          <w:tcPr>
            <w:tcW w:w="5845" w:type="dxa"/>
          </w:tcPr>
          <w:p w14:paraId="17E9B4A8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 xml:space="preserve">El herpes zóster puede causar una erupción dolorosa y con picazón, y puede provocar dolor nervioso a largo plazo, pérdida de la visión y otros problemas de salud graves. Si tiene más de 50 años o más de 19 años y un sistema inmunitario debilitado, protéjase preguntándole a su proveedor de atención médica sobre la vacuna contra el herpes zóster. </w:t>
            </w:r>
          </w:p>
          <w:p w14:paraId="7BC45CA1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lastRenderedPageBreak/>
              <w:t>Obtenga más información en https://hhs.iowa.gov/immunization/ask-me.</w:t>
            </w:r>
          </w:p>
          <w:p w14:paraId="37229742" w14:textId="77777777" w:rsidR="00FD3837" w:rsidRPr="002A75E9" w:rsidRDefault="00CA144D" w:rsidP="0013473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>Fuente: CDC</w:t>
            </w:r>
          </w:p>
        </w:tc>
        <w:tc>
          <w:tcPr>
            <w:tcW w:w="5760" w:type="dxa"/>
          </w:tcPr>
          <w:p w14:paraId="451181BD" w14:textId="64CA7C9C" w:rsidR="00FD3837" w:rsidRDefault="00CA144D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lastRenderedPageBreak/>
              <w:drawing>
                <wp:inline distT="0" distB="0" distL="0" distR="0" wp14:anchorId="48343775" wp14:editId="16404D9C">
                  <wp:extent cx="1809115" cy="1809115"/>
                  <wp:effectExtent l="0" t="0" r="0" b="0"/>
                  <wp:docPr id="2103767521" name="Picture 4" descr="A doctor talking to a group of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67521" name="Picture 4" descr="A doctor talking to a group of peop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18" cy="182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5E9">
              <w:rPr>
                <w:rFonts w:ascii="Montserrat" w:hAnsi="Montserrat"/>
              </w:rPr>
              <w:t xml:space="preserve">  </w:t>
            </w:r>
          </w:p>
          <w:p w14:paraId="4BAB036E" w14:textId="471B489C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  <w:tr w:rsidR="00E536BC" w14:paraId="56F0BE22" w14:textId="77777777" w:rsidTr="00FD3837">
        <w:tc>
          <w:tcPr>
            <w:tcW w:w="5845" w:type="dxa"/>
          </w:tcPr>
          <w:p w14:paraId="375B013B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 xml:space="preserve">El herpes zóster no tiene que formar parte del proceso de envejecer. La eficacia de la vacuna contra el herpes zóster es superior al 90 % a la hora de prevenir el virus en adultos mayores de 50 años con sistemas inmunitarios sanos. Pregúntele a su profesional de atención médica sobre la vacuna contra el herpes zóster y protéjase. </w:t>
            </w:r>
          </w:p>
          <w:p w14:paraId="394B0AAD" w14:textId="77777777" w:rsidR="00134738" w:rsidRPr="00134738" w:rsidRDefault="00CA144D" w:rsidP="00134738">
            <w:pPr>
              <w:pStyle w:val="BasicParagraph"/>
              <w:suppressAutoHyphens/>
              <w:spacing w:before="179"/>
              <w:ind w:right="447"/>
              <w:rPr>
                <w:rFonts w:ascii="Montserrat" w:hAnsi="Montserrat" w:cs="SF Compact Display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 xml:space="preserve">Obtenga más información en https://hhs.iowa.gov/immunization/ask-me. </w:t>
            </w:r>
          </w:p>
          <w:p w14:paraId="0EE56B50" w14:textId="77777777" w:rsidR="00FD3837" w:rsidRPr="002A75E9" w:rsidRDefault="00CA144D" w:rsidP="0013473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eastAsia="Montserrat" w:hAnsi="Montserrat" w:cs="SF Compact Display"/>
                <w:lang w:val="es-ES_tradnl"/>
              </w:rPr>
              <w:t>Fuente: CDC</w:t>
            </w:r>
          </w:p>
        </w:tc>
        <w:tc>
          <w:tcPr>
            <w:tcW w:w="5760" w:type="dxa"/>
          </w:tcPr>
          <w:p w14:paraId="12529516" w14:textId="7CBD5DA3" w:rsidR="00FD3837" w:rsidRDefault="00CA144D" w:rsidP="00910893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694A03BC" wp14:editId="577E400D">
                  <wp:extent cx="1798655" cy="1798655"/>
                  <wp:effectExtent l="0" t="0" r="5080" b="5080"/>
                  <wp:docPr id="530942036" name="Picture 6" descr="A person looking at another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42036" name="Picture 6" descr="A person looking at another pers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211" cy="184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</w:rPr>
              <w:t xml:space="preserve">  </w:t>
            </w:r>
          </w:p>
          <w:p w14:paraId="052E293D" w14:textId="07BE35AC" w:rsidR="002A75E9" w:rsidRPr="002A75E9" w:rsidRDefault="002A75E9" w:rsidP="002A75E9">
            <w:pPr>
              <w:spacing w:line="276" w:lineRule="auto"/>
              <w:jc w:val="right"/>
              <w:rPr>
                <w:rFonts w:ascii="Montserrat" w:hAnsi="Montserrat"/>
              </w:rPr>
            </w:pPr>
          </w:p>
        </w:tc>
      </w:tr>
    </w:tbl>
    <w:p w14:paraId="6CBB084C" w14:textId="77777777" w:rsidR="00FD3837" w:rsidRPr="00FD3837" w:rsidRDefault="00FD3837" w:rsidP="00FD3837">
      <w:pPr>
        <w:rPr>
          <w:rFonts w:ascii="Montserrat" w:hAnsi="Montserrat"/>
          <w:color w:val="FF0000"/>
        </w:rPr>
      </w:pPr>
    </w:p>
    <w:sectPr w:rsidR="00FD3837" w:rsidRPr="00FD3837" w:rsidSect="00FD38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Compact Display">
    <w:altName w:val="Calibri"/>
    <w:panose1 w:val="00000000000000000000"/>
    <w:charset w:val="4D"/>
    <w:family w:val="swiss"/>
    <w:notTrueType/>
    <w:pitch w:val="variable"/>
    <w:sig w:usb0="8000004F" w:usb1="00000000" w:usb2="00000000" w:usb3="00000000" w:csb0="00000113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B2725"/>
    <w:multiLevelType w:val="hybridMultilevel"/>
    <w:tmpl w:val="1BBC43EE"/>
    <w:lvl w:ilvl="0" w:tplc="CE30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AE2FA" w:tentative="1">
      <w:start w:val="1"/>
      <w:numFmt w:val="lowerLetter"/>
      <w:lvlText w:val="%2."/>
      <w:lvlJc w:val="left"/>
      <w:pPr>
        <w:ind w:left="1440" w:hanging="360"/>
      </w:pPr>
    </w:lvl>
    <w:lvl w:ilvl="2" w:tplc="25882A22" w:tentative="1">
      <w:start w:val="1"/>
      <w:numFmt w:val="lowerRoman"/>
      <w:lvlText w:val="%3."/>
      <w:lvlJc w:val="right"/>
      <w:pPr>
        <w:ind w:left="2160" w:hanging="180"/>
      </w:pPr>
    </w:lvl>
    <w:lvl w:ilvl="3" w:tplc="B14A1BA8" w:tentative="1">
      <w:start w:val="1"/>
      <w:numFmt w:val="decimal"/>
      <w:lvlText w:val="%4."/>
      <w:lvlJc w:val="left"/>
      <w:pPr>
        <w:ind w:left="2880" w:hanging="360"/>
      </w:pPr>
    </w:lvl>
    <w:lvl w:ilvl="4" w:tplc="559CC410" w:tentative="1">
      <w:start w:val="1"/>
      <w:numFmt w:val="lowerLetter"/>
      <w:lvlText w:val="%5."/>
      <w:lvlJc w:val="left"/>
      <w:pPr>
        <w:ind w:left="3600" w:hanging="360"/>
      </w:pPr>
    </w:lvl>
    <w:lvl w:ilvl="5" w:tplc="1EB2EED6" w:tentative="1">
      <w:start w:val="1"/>
      <w:numFmt w:val="lowerRoman"/>
      <w:lvlText w:val="%6."/>
      <w:lvlJc w:val="right"/>
      <w:pPr>
        <w:ind w:left="4320" w:hanging="180"/>
      </w:pPr>
    </w:lvl>
    <w:lvl w:ilvl="6" w:tplc="2CAAFFD4" w:tentative="1">
      <w:start w:val="1"/>
      <w:numFmt w:val="decimal"/>
      <w:lvlText w:val="%7."/>
      <w:lvlJc w:val="left"/>
      <w:pPr>
        <w:ind w:left="5040" w:hanging="360"/>
      </w:pPr>
    </w:lvl>
    <w:lvl w:ilvl="7" w:tplc="2C728D96" w:tentative="1">
      <w:start w:val="1"/>
      <w:numFmt w:val="lowerLetter"/>
      <w:lvlText w:val="%8."/>
      <w:lvlJc w:val="left"/>
      <w:pPr>
        <w:ind w:left="5760" w:hanging="360"/>
      </w:pPr>
    </w:lvl>
    <w:lvl w:ilvl="8" w:tplc="34B0B1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37"/>
    <w:rsid w:val="0002156E"/>
    <w:rsid w:val="0005220C"/>
    <w:rsid w:val="000D1B63"/>
    <w:rsid w:val="00134738"/>
    <w:rsid w:val="002A75E9"/>
    <w:rsid w:val="00632ECD"/>
    <w:rsid w:val="007B3CD2"/>
    <w:rsid w:val="00840502"/>
    <w:rsid w:val="0085320D"/>
    <w:rsid w:val="00910893"/>
    <w:rsid w:val="00987684"/>
    <w:rsid w:val="00B13F02"/>
    <w:rsid w:val="00B973B4"/>
    <w:rsid w:val="00CA144D"/>
    <w:rsid w:val="00DC09D1"/>
    <w:rsid w:val="00E536BC"/>
    <w:rsid w:val="00EA3335"/>
    <w:rsid w:val="00F3418C"/>
    <w:rsid w:val="00F64C6F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18A4"/>
  <w15:chartTrackingRefBased/>
  <w15:docId w15:val="{E6F181F3-F13D-FC4F-A85C-49ACEF5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837"/>
    <w:pPr>
      <w:autoSpaceDE w:val="0"/>
      <w:autoSpaceDN w:val="0"/>
      <w:adjustRightInd w:val="0"/>
      <w:spacing w:after="0" w:line="240" w:lineRule="auto"/>
    </w:pPr>
    <w:rPr>
      <w:rFonts w:ascii="SF Compact Display" w:hAnsi="SF Compact Display" w:cs="SF Compact Display"/>
      <w:color w:val="000000"/>
      <w:kern w:val="0"/>
    </w:rPr>
  </w:style>
  <w:style w:type="character" w:customStyle="1" w:styleId="A2">
    <w:name w:val="A2"/>
    <w:uiPriority w:val="99"/>
    <w:rsid w:val="00FD3837"/>
    <w:rPr>
      <w:rFonts w:cs="SF Compact Display"/>
      <w:color w:val="221E1F"/>
      <w:sz w:val="33"/>
      <w:szCs w:val="33"/>
    </w:rPr>
  </w:style>
  <w:style w:type="table" w:styleId="TableGrid">
    <w:name w:val="Table Grid"/>
    <w:basedOn w:val="TableNormal"/>
    <w:uiPriority w:val="39"/>
    <w:rsid w:val="00FD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FD3837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1347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3" ma:contentTypeDescription="Create a new document." ma:contentTypeScope="" ma:versionID="8d2bfc4de4240f4c55595fa07ca8496d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741baafa35234847cb326cfb71a7d804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BCFEA-BEB4-4C7D-866B-64CE7DC40C8F}">
  <ds:schemaRefs>
    <ds:schemaRef ds:uri="http://schemas.microsoft.com/office/2006/metadata/properties"/>
    <ds:schemaRef ds:uri="http://schemas.microsoft.com/office/infopath/2007/PartnerControls"/>
    <ds:schemaRef ds:uri="e56773ca-96d8-4a77-bdbf-9ab946e71b66"/>
    <ds:schemaRef ds:uri="2d48f92e-155d-4ce3-a02e-45d947498286"/>
  </ds:schemaRefs>
</ds:datastoreItem>
</file>

<file path=customXml/itemProps2.xml><?xml version="1.0" encoding="utf-8"?>
<ds:datastoreItem xmlns:ds="http://schemas.openxmlformats.org/officeDocument/2006/customXml" ds:itemID="{1DD8001F-8381-4F0C-9725-22012B17D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792AF-481C-4F31-A600-9AF95EB7E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8f92e-155d-4ce3-a02e-45d947498286"/>
    <ds:schemaRef ds:uri="e56773ca-96d8-4a77-bdbf-9ab946e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Clark-Leyda</dc:creator>
  <cp:lastModifiedBy>Funkhauser, Ashley [HHS]</cp:lastModifiedBy>
  <cp:revision>2</cp:revision>
  <dcterms:created xsi:type="dcterms:W3CDTF">2025-03-05T22:59:00Z</dcterms:created>
  <dcterms:modified xsi:type="dcterms:W3CDTF">2025-03-05T22:59:00Z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0x010100A34CE7A45449B8469E75BF838AAE66D1</vt:lpwstr>
  </property>
</Properties>
</file>