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95D912" w14:textId="398FEFA8" w:rsidR="00787B92" w:rsidRDefault="00787B92" w:rsidP="005E2072"/>
    <w:p w14:paraId="290AE4A8" w14:textId="77777777" w:rsidR="005E2072" w:rsidRPr="005E2072" w:rsidRDefault="005E2072" w:rsidP="005E2072"/>
    <w:p w14:paraId="4AEDAF06" w14:textId="77777777" w:rsidR="00BC0C7B" w:rsidRPr="00C67D0F" w:rsidRDefault="00BC0C7B" w:rsidP="00BC0C7B">
      <w:pPr>
        <w:jc w:val="center"/>
        <w:rPr>
          <w:rFonts w:ascii="Arial" w:hAnsi="Arial" w:cs="Arial"/>
          <w:b/>
          <w:bCs/>
        </w:rPr>
      </w:pPr>
      <w:r w:rsidRPr="00C67D0F">
        <w:rPr>
          <w:rFonts w:ascii="Arial" w:hAnsi="Arial" w:cs="Arial"/>
          <w:b/>
          <w:bCs/>
        </w:rPr>
        <w:t>Public Notice</w:t>
      </w:r>
    </w:p>
    <w:p w14:paraId="1B605A11" w14:textId="04412BD7" w:rsidR="00BC0C7B" w:rsidRPr="00C67D0F" w:rsidRDefault="00BC0C7B" w:rsidP="00BC0C7B">
      <w:pPr>
        <w:jc w:val="center"/>
        <w:rPr>
          <w:rFonts w:ascii="Arial" w:hAnsi="Arial" w:cs="Arial"/>
          <w:b/>
          <w:bCs/>
        </w:rPr>
      </w:pPr>
      <w:r w:rsidRPr="00C67D0F">
        <w:rPr>
          <w:rFonts w:ascii="Arial" w:hAnsi="Arial" w:cs="Arial"/>
          <w:b/>
          <w:bCs/>
        </w:rPr>
        <w:t>State Plan Amendment (SPA) IA-24-001</w:t>
      </w:r>
      <w:r w:rsidR="00EE147A" w:rsidRPr="00C67D0F">
        <w:rPr>
          <w:rFonts w:ascii="Arial" w:hAnsi="Arial" w:cs="Arial"/>
          <w:b/>
          <w:bCs/>
        </w:rPr>
        <w:t>4</w:t>
      </w:r>
    </w:p>
    <w:p w14:paraId="5A6BEC55" w14:textId="4C39AB70" w:rsidR="00BC0C7B" w:rsidRPr="00C67D0F" w:rsidRDefault="00BC0C7B" w:rsidP="00BC0C7B">
      <w:pPr>
        <w:jc w:val="center"/>
        <w:rPr>
          <w:rFonts w:ascii="Arial" w:hAnsi="Arial" w:cs="Arial"/>
          <w:b/>
          <w:bCs/>
        </w:rPr>
      </w:pPr>
      <w:r w:rsidRPr="00C67D0F">
        <w:rPr>
          <w:rFonts w:ascii="Arial" w:hAnsi="Arial" w:cs="Arial"/>
          <w:b/>
          <w:bCs/>
        </w:rPr>
        <w:t xml:space="preserve">Medicaid Payment Rates for </w:t>
      </w:r>
      <w:r w:rsidR="00EF17B7" w:rsidRPr="00C67D0F">
        <w:rPr>
          <w:rFonts w:ascii="Arial" w:hAnsi="Arial" w:cs="Arial"/>
          <w:b/>
          <w:bCs/>
        </w:rPr>
        <w:t>Acute Care Teaching Hospital Graduate Medical Education (GME) Supplemental Payments</w:t>
      </w:r>
    </w:p>
    <w:p w14:paraId="79564E85" w14:textId="77777777" w:rsidR="00BC0C7B" w:rsidRPr="00C67D0F" w:rsidRDefault="00BC0C7B" w:rsidP="00BC0C7B">
      <w:pPr>
        <w:rPr>
          <w:rFonts w:ascii="Arial" w:hAnsi="Arial" w:cs="Arial"/>
        </w:rPr>
      </w:pPr>
    </w:p>
    <w:p w14:paraId="7F0F35C1" w14:textId="460BCFAB" w:rsidR="00BC0C7B" w:rsidRPr="00C67D0F" w:rsidRDefault="00BC0C7B" w:rsidP="00BC0C7B">
      <w:pPr>
        <w:rPr>
          <w:rFonts w:ascii="Arial" w:hAnsi="Arial" w:cs="Arial"/>
        </w:rPr>
      </w:pPr>
      <w:r w:rsidRPr="00C67D0F">
        <w:rPr>
          <w:rFonts w:ascii="Arial" w:hAnsi="Arial" w:cs="Arial"/>
          <w:b/>
          <w:bCs/>
        </w:rPr>
        <w:t>Posted</w:t>
      </w:r>
      <w:r w:rsidRPr="00C67D0F">
        <w:rPr>
          <w:rFonts w:ascii="Arial" w:hAnsi="Arial" w:cs="Arial"/>
        </w:rPr>
        <w:t xml:space="preserve">: </w:t>
      </w:r>
      <w:r w:rsidR="00030A67">
        <w:rPr>
          <w:rFonts w:ascii="Arial" w:hAnsi="Arial" w:cs="Arial"/>
        </w:rPr>
        <w:t>3/18/2025</w:t>
      </w:r>
    </w:p>
    <w:p w14:paraId="058E2D9F" w14:textId="77777777" w:rsidR="00BC0C7B" w:rsidRPr="00C67D0F" w:rsidRDefault="00BC0C7B" w:rsidP="00BC0C7B">
      <w:pPr>
        <w:rPr>
          <w:rFonts w:ascii="Arial" w:hAnsi="Arial" w:cs="Arial"/>
        </w:rPr>
      </w:pPr>
    </w:p>
    <w:p w14:paraId="3A78CDA8" w14:textId="0DBCF8BD" w:rsidR="00BC0C7B" w:rsidRPr="00C67D0F" w:rsidRDefault="00BC0C7B" w:rsidP="00121264">
      <w:pPr>
        <w:spacing w:line="240" w:lineRule="auto"/>
        <w:rPr>
          <w:rFonts w:ascii="Arial" w:hAnsi="Arial" w:cs="Arial"/>
        </w:rPr>
      </w:pPr>
      <w:r w:rsidRPr="00C67D0F">
        <w:rPr>
          <w:rFonts w:ascii="Arial" w:hAnsi="Arial" w:cs="Arial"/>
        </w:rPr>
        <w:t xml:space="preserve">The Iowa Department of Health and Human Services (HHS), pursuant to the requirements outlined in 42 C.F.R. §447.205, hereby gives notice of the following proposed action regarding changes to the reimbursement rates for </w:t>
      </w:r>
      <w:r w:rsidR="00EF17B7" w:rsidRPr="00C67D0F">
        <w:rPr>
          <w:rFonts w:ascii="Arial" w:hAnsi="Arial" w:cs="Arial"/>
        </w:rPr>
        <w:t xml:space="preserve">acute care </w:t>
      </w:r>
      <w:r w:rsidR="00EE147A" w:rsidRPr="00C67D0F">
        <w:rPr>
          <w:rFonts w:ascii="Arial" w:hAnsi="Arial" w:cs="Arial"/>
        </w:rPr>
        <w:t xml:space="preserve">hospital graduate medical education </w:t>
      </w:r>
      <w:r w:rsidR="00EF17B7" w:rsidRPr="00C67D0F">
        <w:rPr>
          <w:rFonts w:ascii="Arial" w:hAnsi="Arial" w:cs="Arial"/>
        </w:rPr>
        <w:t xml:space="preserve">(GME) </w:t>
      </w:r>
      <w:r w:rsidR="00EE147A" w:rsidRPr="00C67D0F">
        <w:rPr>
          <w:rFonts w:ascii="Arial" w:hAnsi="Arial" w:cs="Arial"/>
        </w:rPr>
        <w:t>payments</w:t>
      </w:r>
      <w:r w:rsidRPr="00C67D0F">
        <w:rPr>
          <w:rFonts w:ascii="Arial" w:hAnsi="Arial" w:cs="Arial"/>
        </w:rPr>
        <w:t xml:space="preserve"> under the State Plan under Title XIX of the Social Security Act Medical Assistance Program (Medicaid).</w:t>
      </w:r>
    </w:p>
    <w:p w14:paraId="41C44D33" w14:textId="77777777" w:rsidR="00BC0C7B" w:rsidRPr="00C67D0F" w:rsidRDefault="00BC0C7B" w:rsidP="00121264">
      <w:pPr>
        <w:spacing w:line="240" w:lineRule="auto"/>
        <w:rPr>
          <w:rFonts w:ascii="Arial" w:hAnsi="Arial" w:cs="Arial"/>
        </w:rPr>
      </w:pPr>
    </w:p>
    <w:p w14:paraId="477675E8" w14:textId="77777777" w:rsidR="00BC0C7B" w:rsidRPr="00C67D0F" w:rsidRDefault="00BC0C7B" w:rsidP="00121264">
      <w:pPr>
        <w:spacing w:line="240" w:lineRule="auto"/>
        <w:rPr>
          <w:rFonts w:ascii="Arial" w:hAnsi="Arial" w:cs="Arial"/>
        </w:rPr>
      </w:pPr>
      <w:r w:rsidRPr="00C67D0F">
        <w:rPr>
          <w:rFonts w:ascii="Arial" w:hAnsi="Arial" w:cs="Arial"/>
          <w:b/>
          <w:bCs/>
          <w:u w:val="single"/>
        </w:rPr>
        <w:t>Summary of Submission</w:t>
      </w:r>
      <w:r w:rsidRPr="00C67D0F">
        <w:rPr>
          <w:rFonts w:ascii="Arial" w:hAnsi="Arial" w:cs="Arial"/>
        </w:rPr>
        <w:t>:</w:t>
      </w:r>
    </w:p>
    <w:p w14:paraId="56BBB749" w14:textId="2E4C28D1" w:rsidR="00EF17B7" w:rsidRPr="00C67D0F" w:rsidRDefault="00EF17B7" w:rsidP="00121264">
      <w:pPr>
        <w:spacing w:line="240" w:lineRule="auto"/>
        <w:rPr>
          <w:rFonts w:ascii="Arial" w:hAnsi="Arial" w:cs="Arial"/>
        </w:rPr>
      </w:pPr>
      <w:r w:rsidRPr="00C67D0F">
        <w:rPr>
          <w:rFonts w:ascii="Arial" w:hAnsi="Arial" w:cs="Arial"/>
        </w:rPr>
        <w:t>This notice is to provide information of public interest with respect to direct and indirect GME payments that are proposed to be made to Iowa acute care teaching hospitals, in support of the role these hospitals play in training medical professionals in the state of Iowa.  Iowa Medicaid intends to submit State Plan Amendment (SPA 24-0014) during the second calendar quarter of 2025 to authorize new supplemental GME payments to qualifying Iowa acute care hospitals.</w:t>
      </w:r>
    </w:p>
    <w:p w14:paraId="7A734E0C" w14:textId="2469E804" w:rsidR="00EF17B7" w:rsidRPr="00C67D0F" w:rsidRDefault="00EF17B7" w:rsidP="00121264">
      <w:pPr>
        <w:spacing w:line="240" w:lineRule="auto"/>
        <w:rPr>
          <w:rFonts w:ascii="Arial" w:hAnsi="Arial" w:cs="Arial"/>
        </w:rPr>
      </w:pPr>
      <w:bookmarkStart w:id="0" w:name="_Hlk193185259"/>
      <w:r w:rsidRPr="00C67D0F">
        <w:rPr>
          <w:rFonts w:ascii="Arial" w:hAnsi="Arial" w:cs="Arial"/>
        </w:rPr>
        <w:t>Consistent with the recognition in federal law</w:t>
      </w:r>
      <w:r w:rsidR="00D25AB6">
        <w:rPr>
          <w:rFonts w:ascii="Arial" w:hAnsi="Arial" w:cs="Arial"/>
        </w:rPr>
        <w:t>,</w:t>
      </w:r>
      <w:r w:rsidRPr="00C67D0F">
        <w:rPr>
          <w:rFonts w:ascii="Arial" w:hAnsi="Arial" w:cs="Arial"/>
        </w:rPr>
        <w:t xml:space="preserve"> “direct payments to network providers for GME costs approved under the State plan,” (42 C.F.R. §438.60), </w:t>
      </w:r>
      <w:r w:rsidR="00D25AB6">
        <w:rPr>
          <w:rFonts w:ascii="Arial" w:hAnsi="Arial" w:cs="Arial"/>
        </w:rPr>
        <w:t xml:space="preserve">a state Medicaid agency may make </w:t>
      </w:r>
      <w:r w:rsidRPr="00C67D0F">
        <w:rPr>
          <w:rFonts w:ascii="Arial" w:hAnsi="Arial" w:cs="Arial"/>
        </w:rPr>
        <w:t xml:space="preserve">these payments to qualifying hospitals, effective </w:t>
      </w:r>
      <w:r w:rsidR="001C08BB">
        <w:rPr>
          <w:rFonts w:ascii="Arial" w:hAnsi="Arial" w:cs="Arial"/>
        </w:rPr>
        <w:t>July</w:t>
      </w:r>
      <w:r w:rsidRPr="00C67D0F">
        <w:rPr>
          <w:rFonts w:ascii="Arial" w:hAnsi="Arial" w:cs="Arial"/>
        </w:rPr>
        <w:t xml:space="preserve"> 1, 20</w:t>
      </w:r>
      <w:r w:rsidR="001C08BB">
        <w:rPr>
          <w:rFonts w:ascii="Arial" w:hAnsi="Arial" w:cs="Arial"/>
        </w:rPr>
        <w:t>25</w:t>
      </w:r>
      <w:r w:rsidRPr="00C67D0F">
        <w:rPr>
          <w:rFonts w:ascii="Arial" w:hAnsi="Arial" w:cs="Arial"/>
        </w:rPr>
        <w:t>.</w:t>
      </w:r>
      <w:bookmarkEnd w:id="0"/>
    </w:p>
    <w:p w14:paraId="34861D18" w14:textId="77777777" w:rsidR="00EF17B7" w:rsidRPr="00121264" w:rsidRDefault="00EF17B7" w:rsidP="00121264">
      <w:pPr>
        <w:spacing w:line="240" w:lineRule="auto"/>
        <w:rPr>
          <w:rFonts w:cstheme="minorHAnsi"/>
        </w:rPr>
      </w:pPr>
      <w:r w:rsidRPr="00121264">
        <w:rPr>
          <w:rFonts w:cstheme="minorHAnsi"/>
        </w:rPr>
        <w:t>To qualify for these GME supplemental payments, the hospital must meet the following criteria:</w:t>
      </w:r>
    </w:p>
    <w:p w14:paraId="47A6A8D5" w14:textId="77777777" w:rsidR="00121264" w:rsidRPr="00121264" w:rsidRDefault="00121264" w:rsidP="00121264">
      <w:pPr>
        <w:pStyle w:val="ListParagraph"/>
        <w:numPr>
          <w:ilvl w:val="0"/>
          <w:numId w:val="8"/>
        </w:numPr>
        <w:spacing w:after="0" w:line="240" w:lineRule="auto"/>
        <w:rPr>
          <w:rFonts w:ascii="Arial" w:hAnsi="Arial" w:cs="Arial"/>
        </w:rPr>
      </w:pPr>
      <w:r w:rsidRPr="00121264">
        <w:rPr>
          <w:rFonts w:ascii="Arial" w:hAnsi="Arial" w:cs="Arial"/>
        </w:rPr>
        <w:t>Be a hospital in Iowa reporting yes (“Y”) to be a hospital involved in training residents in approved GME programs as required on their most recent Medicare Cost Report (worksheet S-2, part I, line 56)</w:t>
      </w:r>
    </w:p>
    <w:p w14:paraId="5FA7BFBB" w14:textId="77777777" w:rsidR="00121264" w:rsidRPr="00121264" w:rsidRDefault="00121264" w:rsidP="00121264">
      <w:pPr>
        <w:pStyle w:val="ListParagraph"/>
        <w:numPr>
          <w:ilvl w:val="1"/>
          <w:numId w:val="8"/>
        </w:numPr>
        <w:spacing w:after="0" w:line="240" w:lineRule="auto"/>
        <w:rPr>
          <w:rFonts w:ascii="Arial" w:hAnsi="Arial" w:cs="Arial"/>
        </w:rPr>
      </w:pPr>
      <w:r w:rsidRPr="00121264">
        <w:rPr>
          <w:rFonts w:ascii="Arial" w:hAnsi="Arial" w:cs="Arial"/>
        </w:rPr>
        <w:t>Qualifying teaching hospitals that are State-owned or operated or non-State Government Owned or operated public teaching hospitals shall be known as “designated public teaching hospitals.”</w:t>
      </w:r>
    </w:p>
    <w:p w14:paraId="79E45B32" w14:textId="30AA8460" w:rsidR="00EF17B7" w:rsidRPr="00121264" w:rsidRDefault="00121264" w:rsidP="00121264">
      <w:pPr>
        <w:pStyle w:val="ListParagraph"/>
        <w:numPr>
          <w:ilvl w:val="1"/>
          <w:numId w:val="8"/>
        </w:numPr>
        <w:spacing w:after="0" w:line="240" w:lineRule="auto"/>
        <w:rPr>
          <w:rFonts w:ascii="Arial" w:hAnsi="Arial" w:cs="Arial"/>
        </w:rPr>
      </w:pPr>
      <w:r w:rsidRPr="00121264">
        <w:rPr>
          <w:rFonts w:ascii="Arial" w:hAnsi="Arial" w:cs="Arial"/>
        </w:rPr>
        <w:t xml:space="preserve">All other qualifying teaching hospitals shall be known as “other qualifying teaching hospitals.” These hospitals would be paid on a prospective basis and would not be subject to reconciliation. </w:t>
      </w:r>
    </w:p>
    <w:p w14:paraId="02A4176A" w14:textId="77777777" w:rsidR="00121264" w:rsidRDefault="00121264" w:rsidP="00121264">
      <w:pPr>
        <w:spacing w:line="240" w:lineRule="auto"/>
        <w:rPr>
          <w:rFonts w:cstheme="minorHAnsi"/>
        </w:rPr>
      </w:pPr>
    </w:p>
    <w:p w14:paraId="50465D64" w14:textId="60B45EC2" w:rsidR="00EF17B7" w:rsidRPr="00121264" w:rsidRDefault="00EF17B7" w:rsidP="00121264">
      <w:pPr>
        <w:spacing w:line="240" w:lineRule="auto"/>
        <w:rPr>
          <w:rFonts w:cstheme="minorHAnsi"/>
        </w:rPr>
      </w:pPr>
      <w:r w:rsidRPr="00121264">
        <w:rPr>
          <w:rFonts w:cstheme="minorHAnsi"/>
        </w:rPr>
        <w:t>Supplemental GME payments to qualifying hospitals will consist of the following:</w:t>
      </w:r>
    </w:p>
    <w:p w14:paraId="35F9F144" w14:textId="68E80C67" w:rsidR="00EF17B7" w:rsidRPr="00832BED" w:rsidRDefault="00EF17B7" w:rsidP="00832BED">
      <w:pPr>
        <w:pStyle w:val="ListParagraph"/>
        <w:numPr>
          <w:ilvl w:val="0"/>
          <w:numId w:val="9"/>
        </w:numPr>
        <w:spacing w:line="240" w:lineRule="auto"/>
        <w:rPr>
          <w:rFonts w:cstheme="minorHAnsi"/>
        </w:rPr>
      </w:pPr>
      <w:r w:rsidRPr="00121264">
        <w:rPr>
          <w:rFonts w:cstheme="minorHAnsi"/>
        </w:rPr>
        <w:t>Payments made in recognition of the IA Health Link managed care share of direct graduate medical education (DGME) costs, including salaries, benefits, physician oversight, and allocated overhead costs incurred for interns and residents</w:t>
      </w:r>
      <w:r w:rsidR="00B928E1">
        <w:rPr>
          <w:rFonts w:cstheme="minorHAnsi"/>
        </w:rPr>
        <w:t xml:space="preserve">.  </w:t>
      </w:r>
      <w:r w:rsidR="008B517D">
        <w:rPr>
          <w:rFonts w:cstheme="minorHAnsi"/>
        </w:rPr>
        <w:t xml:space="preserve">Inpatient </w:t>
      </w:r>
      <w:r w:rsidR="00832BED">
        <w:rPr>
          <w:rFonts w:cstheme="minorHAnsi"/>
        </w:rPr>
        <w:t xml:space="preserve">DGME costs are determined by the Medicaid managed care patient load.  </w:t>
      </w:r>
      <w:r w:rsidR="008B517D">
        <w:rPr>
          <w:rFonts w:cstheme="minorHAnsi"/>
        </w:rPr>
        <w:t xml:space="preserve">Outpatient DGME costs are determined by the Medicaid managed care patient load multiplied by the outpatient hospital services ratio. </w:t>
      </w:r>
      <w:r w:rsidR="00B928E1" w:rsidRPr="00832BED">
        <w:rPr>
          <w:rFonts w:cstheme="minorHAnsi"/>
        </w:rPr>
        <w:t xml:space="preserve">Supplemental payment amounts will be determined by the difference in calculated DGME costs and base GME payments multiplied by a factor </w:t>
      </w:r>
      <w:r w:rsidR="00832BED" w:rsidRPr="00832BED">
        <w:rPr>
          <w:rFonts w:cstheme="minorHAnsi"/>
        </w:rPr>
        <w:t xml:space="preserve">of 1.25 for qualifying public teaching hospitals and </w:t>
      </w:r>
      <w:r w:rsidR="008B517D">
        <w:rPr>
          <w:rFonts w:cstheme="minorHAnsi"/>
        </w:rPr>
        <w:t>0</w:t>
      </w:r>
      <w:r w:rsidR="00832BED" w:rsidRPr="00832BED">
        <w:rPr>
          <w:rFonts w:cstheme="minorHAnsi"/>
        </w:rPr>
        <w:t xml:space="preserve">.44 for all other qualifying hospitals.  </w:t>
      </w:r>
    </w:p>
    <w:p w14:paraId="269610E3" w14:textId="5B1B9869" w:rsidR="00BC0C7B" w:rsidRDefault="00EF17B7" w:rsidP="00121264">
      <w:pPr>
        <w:pStyle w:val="ListParagraph"/>
        <w:numPr>
          <w:ilvl w:val="0"/>
          <w:numId w:val="9"/>
        </w:numPr>
        <w:spacing w:line="240" w:lineRule="auto"/>
        <w:rPr>
          <w:rFonts w:cstheme="minorHAnsi"/>
        </w:rPr>
      </w:pPr>
      <w:r w:rsidRPr="00121264">
        <w:rPr>
          <w:rFonts w:cstheme="minorHAnsi"/>
        </w:rPr>
        <w:t>Payments made in recognition of the IA Health Link managed care share of indirect graduate medical education (IGME) costs incurred for teaching activities</w:t>
      </w:r>
      <w:r w:rsidR="00B928E1">
        <w:rPr>
          <w:rFonts w:cstheme="minorHAnsi"/>
        </w:rPr>
        <w:t>.</w:t>
      </w:r>
      <w:r w:rsidRPr="00121264">
        <w:rPr>
          <w:rFonts w:cstheme="minorHAnsi"/>
        </w:rPr>
        <w:t xml:space="preserve"> </w:t>
      </w:r>
      <w:r w:rsidR="008B517D">
        <w:rPr>
          <w:rFonts w:cstheme="minorHAnsi"/>
        </w:rPr>
        <w:t xml:space="preserve">Inpatient and outpatient </w:t>
      </w:r>
      <w:r w:rsidR="00832BED">
        <w:rPr>
          <w:rFonts w:cstheme="minorHAnsi"/>
        </w:rPr>
        <w:t>IGME costs are determined by the ratio of interns and residents to average daily census multiplied by Medicaid managed care payments.</w:t>
      </w:r>
      <w:r w:rsidR="008B517D">
        <w:rPr>
          <w:rFonts w:cstheme="minorHAnsi"/>
        </w:rPr>
        <w:t xml:space="preserve">  </w:t>
      </w:r>
      <w:r w:rsidR="00832BED">
        <w:rPr>
          <w:rFonts w:cstheme="minorHAnsi"/>
        </w:rPr>
        <w:t xml:space="preserve">Supplemental payment amounts will be determined by the difference in calculated IGME costs and base GME payments multiplied by a factor of 1.25 for qualifying public teaching hospitals and </w:t>
      </w:r>
      <w:r w:rsidR="008B517D">
        <w:rPr>
          <w:rFonts w:cstheme="minorHAnsi"/>
        </w:rPr>
        <w:t>0</w:t>
      </w:r>
      <w:r w:rsidR="00832BED">
        <w:rPr>
          <w:rFonts w:cstheme="minorHAnsi"/>
        </w:rPr>
        <w:t>.44 for all other qualifying hospitals.</w:t>
      </w:r>
    </w:p>
    <w:p w14:paraId="02BD4C6A" w14:textId="52A5F8BF" w:rsidR="008B517D" w:rsidRDefault="00795AD1" w:rsidP="00121264">
      <w:pPr>
        <w:pStyle w:val="ListParagraph"/>
        <w:numPr>
          <w:ilvl w:val="0"/>
          <w:numId w:val="9"/>
        </w:numPr>
        <w:spacing w:line="240" w:lineRule="auto"/>
        <w:rPr>
          <w:rFonts w:cstheme="minorHAnsi"/>
        </w:rPr>
      </w:pPr>
      <w:r>
        <w:rPr>
          <w:rFonts w:cstheme="minorHAnsi"/>
        </w:rPr>
        <w:lastRenderedPageBreak/>
        <w:t>Qualifying</w:t>
      </w:r>
      <w:r w:rsidR="008B517D">
        <w:rPr>
          <w:rFonts w:cstheme="minorHAnsi"/>
        </w:rPr>
        <w:t xml:space="preserve"> public hospital supplemental GME payments will be subject to retrospective settlement.  All other qualifying hospitals will receive prospective payment with no retrospective settlement</w:t>
      </w:r>
      <w:r>
        <w:rPr>
          <w:rFonts w:cstheme="minorHAnsi"/>
        </w:rPr>
        <w:t>.</w:t>
      </w:r>
    </w:p>
    <w:p w14:paraId="051515A7" w14:textId="77777777" w:rsidR="008B517D" w:rsidRPr="00121264" w:rsidRDefault="008B517D" w:rsidP="008B517D">
      <w:pPr>
        <w:pStyle w:val="ListParagraph"/>
        <w:spacing w:line="240" w:lineRule="auto"/>
        <w:rPr>
          <w:rFonts w:cstheme="minorHAnsi"/>
        </w:rPr>
      </w:pPr>
    </w:p>
    <w:p w14:paraId="66129281" w14:textId="0648B72B" w:rsidR="00BC0C7B" w:rsidRPr="00C67D0F" w:rsidRDefault="00BC0C7B" w:rsidP="00121264">
      <w:pPr>
        <w:spacing w:line="240" w:lineRule="auto"/>
        <w:rPr>
          <w:rFonts w:ascii="Arial" w:hAnsi="Arial" w:cs="Arial"/>
        </w:rPr>
      </w:pPr>
      <w:r w:rsidRPr="00C67D0F">
        <w:rPr>
          <w:rFonts w:ascii="Arial" w:hAnsi="Arial" w:cs="Arial"/>
          <w:b/>
          <w:bCs/>
          <w:u w:val="single"/>
        </w:rPr>
        <w:t>Estimated Fiscal Impact</w:t>
      </w:r>
      <w:r w:rsidRPr="00C67D0F">
        <w:rPr>
          <w:rFonts w:ascii="Arial" w:hAnsi="Arial" w:cs="Arial"/>
        </w:rPr>
        <w:t>:</w:t>
      </w:r>
    </w:p>
    <w:p w14:paraId="065FAEB8" w14:textId="2BB71CD7" w:rsidR="00EF17B7" w:rsidRPr="00C67D0F" w:rsidRDefault="003B4F01" w:rsidP="00121264">
      <w:pPr>
        <w:spacing w:line="240" w:lineRule="auto"/>
        <w:rPr>
          <w:rFonts w:ascii="Arial" w:hAnsi="Arial" w:cs="Arial"/>
        </w:rPr>
      </w:pPr>
      <w:r>
        <w:rPr>
          <w:rFonts w:ascii="Arial" w:hAnsi="Arial" w:cs="Arial"/>
        </w:rPr>
        <w:t>Iowa Medicaid</w:t>
      </w:r>
      <w:r w:rsidR="00EF17B7" w:rsidRPr="00C67D0F">
        <w:rPr>
          <w:rFonts w:ascii="Arial" w:hAnsi="Arial" w:cs="Arial"/>
        </w:rPr>
        <w:t xml:space="preserve"> estimates the sum of the Iowa state-owned acute care teaching hospital GME supplemental payments to provide for approximately $</w:t>
      </w:r>
      <w:r w:rsidR="00C67D0F">
        <w:rPr>
          <w:rFonts w:ascii="Arial" w:hAnsi="Arial" w:cs="Arial"/>
        </w:rPr>
        <w:t>2</w:t>
      </w:r>
      <w:r w:rsidR="00EF17B7" w:rsidRPr="00C67D0F">
        <w:rPr>
          <w:rFonts w:ascii="Arial" w:hAnsi="Arial" w:cs="Arial"/>
        </w:rPr>
        <w:t xml:space="preserve">71 million in combined total computable payments annually, with the </w:t>
      </w:r>
      <w:r w:rsidR="00121264">
        <w:rPr>
          <w:rFonts w:ascii="Arial" w:hAnsi="Arial" w:cs="Arial"/>
        </w:rPr>
        <w:t>designated public</w:t>
      </w:r>
      <w:r w:rsidR="00EF17B7" w:rsidRPr="00C67D0F">
        <w:rPr>
          <w:rFonts w:ascii="Arial" w:hAnsi="Arial" w:cs="Arial"/>
        </w:rPr>
        <w:t xml:space="preserve"> hospitals providing the non-federal share of such payments through intergovernmental transfer (IGT). If approved, these payments will be made in a lump-sum basis throughout the state fiscal year (SFY) and would not be paid as individual increases to current reimbursement rates for specific services.</w:t>
      </w:r>
    </w:p>
    <w:p w14:paraId="4C0678DB" w14:textId="1FBE871D" w:rsidR="00BC0C7B" w:rsidRPr="00C67D0F" w:rsidRDefault="00EF17B7" w:rsidP="00121264">
      <w:pPr>
        <w:spacing w:line="240" w:lineRule="auto"/>
        <w:rPr>
          <w:rFonts w:ascii="Arial" w:hAnsi="Arial" w:cs="Arial"/>
        </w:rPr>
      </w:pPr>
      <w:r w:rsidRPr="00C67D0F">
        <w:rPr>
          <w:rFonts w:ascii="Arial" w:hAnsi="Arial" w:cs="Arial"/>
        </w:rPr>
        <w:t>The proposed GME supplemental payments to qualifying hospitals are subject to approval by the Centers for Medicare and Medicaid Services (CMS).</w:t>
      </w:r>
    </w:p>
    <w:p w14:paraId="2CF11ECC" w14:textId="77777777" w:rsidR="00EF17B7" w:rsidRPr="00C67D0F" w:rsidRDefault="00EF17B7" w:rsidP="00121264">
      <w:pPr>
        <w:spacing w:line="240" w:lineRule="auto"/>
        <w:rPr>
          <w:rFonts w:ascii="Arial" w:hAnsi="Arial" w:cs="Arial"/>
        </w:rPr>
      </w:pPr>
    </w:p>
    <w:p w14:paraId="2F5754B5" w14:textId="15FD126B" w:rsidR="00BC0C7B" w:rsidRPr="00C67D0F" w:rsidRDefault="00BC0C7B" w:rsidP="00121264">
      <w:pPr>
        <w:spacing w:line="240" w:lineRule="auto"/>
        <w:rPr>
          <w:rFonts w:ascii="Arial" w:hAnsi="Arial" w:cs="Arial"/>
        </w:rPr>
      </w:pPr>
      <w:r w:rsidRPr="00C67D0F">
        <w:rPr>
          <w:rFonts w:ascii="Arial" w:hAnsi="Arial" w:cs="Arial"/>
          <w:b/>
          <w:bCs/>
          <w:u w:val="single"/>
        </w:rPr>
        <w:t>Public Review and Comments</w:t>
      </w:r>
      <w:r w:rsidRPr="00C67D0F">
        <w:rPr>
          <w:rFonts w:ascii="Arial" w:hAnsi="Arial" w:cs="Arial"/>
        </w:rPr>
        <w:t>:</w:t>
      </w:r>
    </w:p>
    <w:p w14:paraId="55F5483E" w14:textId="77777777" w:rsidR="00E16C46" w:rsidRDefault="00BC0C7B" w:rsidP="00121264">
      <w:pPr>
        <w:spacing w:line="240" w:lineRule="auto"/>
        <w:rPr>
          <w:rFonts w:ascii="Arial" w:hAnsi="Arial" w:cs="Arial"/>
        </w:rPr>
      </w:pPr>
      <w:r w:rsidRPr="00C67D0F">
        <w:rPr>
          <w:rFonts w:ascii="Arial" w:hAnsi="Arial" w:cs="Arial"/>
        </w:rPr>
        <w:t>A copy of the SPA-IA-24-001</w:t>
      </w:r>
      <w:r w:rsidR="00EF17B7" w:rsidRPr="00C67D0F">
        <w:rPr>
          <w:rFonts w:ascii="Arial" w:hAnsi="Arial" w:cs="Arial"/>
        </w:rPr>
        <w:t>4</w:t>
      </w:r>
      <w:r w:rsidRPr="00C67D0F">
        <w:rPr>
          <w:rFonts w:ascii="Arial" w:hAnsi="Arial" w:cs="Arial"/>
        </w:rPr>
        <w:t xml:space="preserve"> and public notice is posted on the HHS website at the following link: </w:t>
      </w:r>
      <w:hyperlink r:id="rId11" w:history="1">
        <w:r w:rsidR="00E16C46" w:rsidRPr="007A5E22">
          <w:rPr>
            <w:rStyle w:val="Hyperlink"/>
            <w:rFonts w:ascii="Arial" w:hAnsi="Arial" w:cs="Arial"/>
          </w:rPr>
          <w:t>https://hhs.iowa.gov/public-notice/2025-01-28/public-notice-public-comment-period-renewal-1915-c-home-and-community-based-services-hcbs-aidshiv</w:t>
        </w:r>
      </w:hyperlink>
      <w:r w:rsidR="00E16C46">
        <w:rPr>
          <w:rFonts w:ascii="Arial" w:hAnsi="Arial" w:cs="Arial"/>
        </w:rPr>
        <w:t>.</w:t>
      </w:r>
    </w:p>
    <w:p w14:paraId="445973DA" w14:textId="0B5A4DFF" w:rsidR="00BC0C7B" w:rsidRPr="00C67D0F" w:rsidRDefault="00BC0C7B" w:rsidP="00121264">
      <w:pPr>
        <w:spacing w:line="240" w:lineRule="auto"/>
        <w:rPr>
          <w:rFonts w:ascii="Arial" w:hAnsi="Arial" w:cs="Arial"/>
        </w:rPr>
      </w:pPr>
      <w:r w:rsidRPr="00C67D0F">
        <w:rPr>
          <w:rFonts w:ascii="Arial" w:hAnsi="Arial" w:cs="Arial"/>
        </w:rPr>
        <w:t xml:space="preserve">To reach all stakeholders, non-electronic copies will be made available for review at each local HHS office.  </w:t>
      </w:r>
    </w:p>
    <w:p w14:paraId="36BE52B4" w14:textId="77777777" w:rsidR="00BC0C7B" w:rsidRPr="00C67D0F" w:rsidRDefault="00BC0C7B" w:rsidP="00121264">
      <w:pPr>
        <w:spacing w:line="240" w:lineRule="auto"/>
        <w:rPr>
          <w:rFonts w:ascii="Arial" w:hAnsi="Arial" w:cs="Arial"/>
        </w:rPr>
      </w:pPr>
    </w:p>
    <w:p w14:paraId="3E779B6F" w14:textId="28B84DB1" w:rsidR="00BC0C7B" w:rsidRPr="00C67D0F" w:rsidRDefault="00BC0C7B" w:rsidP="00121264">
      <w:pPr>
        <w:spacing w:line="240" w:lineRule="auto"/>
        <w:rPr>
          <w:rFonts w:ascii="Arial" w:hAnsi="Arial" w:cs="Arial"/>
        </w:rPr>
      </w:pPr>
      <w:r w:rsidRPr="00C67D0F">
        <w:rPr>
          <w:rFonts w:ascii="Arial" w:hAnsi="Arial" w:cs="Arial"/>
          <w:b/>
          <w:bCs/>
          <w:u w:val="single"/>
        </w:rPr>
        <w:t>Submission of Comments</w:t>
      </w:r>
      <w:r w:rsidRPr="00C67D0F">
        <w:rPr>
          <w:rFonts w:ascii="Arial" w:hAnsi="Arial" w:cs="Arial"/>
        </w:rPr>
        <w:t>:</w:t>
      </w:r>
    </w:p>
    <w:p w14:paraId="0D92B536" w14:textId="3B0D697A" w:rsidR="00BC0C7B" w:rsidRPr="00C67D0F" w:rsidRDefault="00BC0C7B" w:rsidP="00121264">
      <w:pPr>
        <w:spacing w:line="240" w:lineRule="auto"/>
        <w:rPr>
          <w:rFonts w:ascii="Arial" w:hAnsi="Arial" w:cs="Arial"/>
        </w:rPr>
      </w:pPr>
      <w:r w:rsidRPr="00C67D0F">
        <w:rPr>
          <w:rFonts w:ascii="Arial" w:hAnsi="Arial" w:cs="Arial"/>
        </w:rPr>
        <w:t xml:space="preserve">Written comments may be sent to </w:t>
      </w:r>
      <w:r w:rsidR="00EF17B7" w:rsidRPr="00C67D0F">
        <w:rPr>
          <w:rFonts w:ascii="Arial" w:hAnsi="Arial" w:cs="Arial"/>
        </w:rPr>
        <w:t>Dex Walker</w:t>
      </w:r>
      <w:r w:rsidRPr="00C67D0F">
        <w:rPr>
          <w:rFonts w:ascii="Arial" w:hAnsi="Arial" w:cs="Arial"/>
        </w:rPr>
        <w:t xml:space="preserve">, Department of Health and Human Services, Iowa Medicaid, </w:t>
      </w:r>
      <w:r w:rsidR="00EF17B7" w:rsidRPr="00C67D0F">
        <w:rPr>
          <w:rFonts w:ascii="Arial" w:hAnsi="Arial" w:cs="Arial"/>
        </w:rPr>
        <w:t>321 E 12</w:t>
      </w:r>
      <w:r w:rsidR="00EF17B7" w:rsidRPr="00C67D0F">
        <w:rPr>
          <w:rFonts w:ascii="Arial" w:hAnsi="Arial" w:cs="Arial"/>
          <w:vertAlign w:val="superscript"/>
        </w:rPr>
        <w:t>th</w:t>
      </w:r>
      <w:r w:rsidR="00EF17B7" w:rsidRPr="00C67D0F">
        <w:rPr>
          <w:rFonts w:ascii="Arial" w:hAnsi="Arial" w:cs="Arial"/>
        </w:rPr>
        <w:t xml:space="preserve"> St</w:t>
      </w:r>
      <w:r w:rsidRPr="00C67D0F">
        <w:rPr>
          <w:rFonts w:ascii="Arial" w:hAnsi="Arial" w:cs="Arial"/>
        </w:rPr>
        <w:t xml:space="preserve">, Des Moines, IA 50319 or may be emailed to </w:t>
      </w:r>
      <w:hyperlink r:id="rId12" w:history="1">
        <w:r w:rsidR="00EF17B7" w:rsidRPr="00C67D0F">
          <w:rPr>
            <w:rStyle w:val="Hyperlink"/>
            <w:rFonts w:ascii="Arial" w:hAnsi="Arial" w:cs="Arial"/>
          </w:rPr>
          <w:t>dex.walker@hhs.iowa.gov</w:t>
        </w:r>
      </w:hyperlink>
      <w:r w:rsidRPr="00C67D0F">
        <w:rPr>
          <w:rFonts w:ascii="Arial" w:hAnsi="Arial" w:cs="Arial"/>
        </w:rPr>
        <w:t>. Please indicate SPA IA-24-001</w:t>
      </w:r>
      <w:r w:rsidR="00EF17B7" w:rsidRPr="00C67D0F">
        <w:rPr>
          <w:rFonts w:ascii="Arial" w:hAnsi="Arial" w:cs="Arial"/>
        </w:rPr>
        <w:t>4</w:t>
      </w:r>
      <w:r w:rsidRPr="00C67D0F">
        <w:rPr>
          <w:rFonts w:ascii="Arial" w:hAnsi="Arial" w:cs="Arial"/>
        </w:rPr>
        <w:t xml:space="preserve"> in the subject line of the email. </w:t>
      </w:r>
    </w:p>
    <w:p w14:paraId="503EA1D2" w14:textId="6FD682A5" w:rsidR="00BC0C7B" w:rsidRPr="00C67D0F" w:rsidRDefault="00BC0C7B" w:rsidP="00121264">
      <w:pPr>
        <w:spacing w:line="240" w:lineRule="auto"/>
        <w:rPr>
          <w:rFonts w:ascii="Arial" w:hAnsi="Arial" w:cs="Arial"/>
        </w:rPr>
      </w:pPr>
      <w:r w:rsidRPr="00C67D0F">
        <w:rPr>
          <w:rFonts w:ascii="Arial" w:hAnsi="Arial" w:cs="Arial"/>
        </w:rPr>
        <w:t xml:space="preserve">All written and emailed comments must be received no later than </w:t>
      </w:r>
      <w:r w:rsidR="00E16C46">
        <w:rPr>
          <w:rFonts w:ascii="Arial" w:hAnsi="Arial" w:cs="Arial"/>
        </w:rPr>
        <w:t>April 19</w:t>
      </w:r>
      <w:r w:rsidR="00E16C46" w:rsidRPr="00E16C46">
        <w:rPr>
          <w:rFonts w:ascii="Arial" w:hAnsi="Arial" w:cs="Arial"/>
          <w:vertAlign w:val="superscript"/>
        </w:rPr>
        <w:t>th</w:t>
      </w:r>
      <w:r w:rsidR="00E16C46">
        <w:rPr>
          <w:rFonts w:ascii="Arial" w:hAnsi="Arial" w:cs="Arial"/>
        </w:rPr>
        <w:t>, 2025,</w:t>
      </w:r>
      <w:r w:rsidRPr="00C67D0F">
        <w:rPr>
          <w:rFonts w:ascii="Arial" w:hAnsi="Arial" w:cs="Arial"/>
        </w:rPr>
        <w:t xml:space="preserve"> by 4:30 p.m.</w:t>
      </w:r>
    </w:p>
    <w:p w14:paraId="7D4CA265" w14:textId="77777777" w:rsidR="00BC0C7B" w:rsidRPr="00C67D0F" w:rsidRDefault="00BC0C7B" w:rsidP="00121264">
      <w:pPr>
        <w:spacing w:line="240" w:lineRule="auto"/>
        <w:rPr>
          <w:rFonts w:ascii="Arial" w:hAnsi="Arial" w:cs="Arial"/>
        </w:rPr>
      </w:pPr>
    </w:p>
    <w:p w14:paraId="0DD2E0E4" w14:textId="77777777" w:rsidR="00BC0C7B" w:rsidRPr="00C67D0F" w:rsidRDefault="00BC0C7B" w:rsidP="00121264">
      <w:pPr>
        <w:spacing w:line="240" w:lineRule="auto"/>
        <w:rPr>
          <w:rFonts w:ascii="Arial" w:hAnsi="Arial" w:cs="Arial"/>
        </w:rPr>
      </w:pPr>
      <w:r w:rsidRPr="00C67D0F">
        <w:rPr>
          <w:rFonts w:ascii="Arial" w:hAnsi="Arial" w:cs="Arial"/>
        </w:rPr>
        <w:t>Submitted by:</w:t>
      </w:r>
    </w:p>
    <w:p w14:paraId="423CE4AF" w14:textId="6F01323D" w:rsidR="005E2072" w:rsidRPr="00C67D0F" w:rsidRDefault="00EF17B7" w:rsidP="00121264">
      <w:pPr>
        <w:spacing w:line="240" w:lineRule="auto"/>
        <w:rPr>
          <w:rFonts w:ascii="Arial" w:hAnsi="Arial" w:cs="Arial"/>
        </w:rPr>
      </w:pPr>
      <w:r w:rsidRPr="00C67D0F">
        <w:rPr>
          <w:rFonts w:ascii="Arial" w:hAnsi="Arial" w:cs="Arial"/>
        </w:rPr>
        <w:t>Rebecca Curtiss</w:t>
      </w:r>
      <w:r w:rsidR="00BC0C7B" w:rsidRPr="00C67D0F">
        <w:rPr>
          <w:rFonts w:ascii="Arial" w:hAnsi="Arial" w:cs="Arial"/>
        </w:rPr>
        <w:t xml:space="preserve">, </w:t>
      </w:r>
      <w:r w:rsidRPr="00C67D0F">
        <w:rPr>
          <w:rFonts w:ascii="Arial" w:hAnsi="Arial" w:cs="Arial"/>
        </w:rPr>
        <w:t xml:space="preserve">Interim </w:t>
      </w:r>
      <w:r w:rsidR="00BC0C7B" w:rsidRPr="00C67D0F">
        <w:rPr>
          <w:rFonts w:ascii="Arial" w:hAnsi="Arial" w:cs="Arial"/>
        </w:rPr>
        <w:t>Medicaid Director</w:t>
      </w:r>
    </w:p>
    <w:sectPr w:rsidR="005E2072" w:rsidRPr="00C67D0F" w:rsidSect="009A4BBE">
      <w:headerReference w:type="first" r:id="rId13"/>
      <w:pgSz w:w="12240" w:h="15840"/>
      <w:pgMar w:top="1185"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052E46" w14:textId="77777777" w:rsidR="00704AC4" w:rsidRDefault="00704AC4" w:rsidP="00ED0FA2">
      <w:pPr>
        <w:spacing w:after="0" w:line="240" w:lineRule="auto"/>
      </w:pPr>
      <w:r>
        <w:separator/>
      </w:r>
    </w:p>
  </w:endnote>
  <w:endnote w:type="continuationSeparator" w:id="0">
    <w:p w14:paraId="76FE50AA" w14:textId="77777777" w:rsidR="00704AC4" w:rsidRDefault="00704AC4" w:rsidP="00ED0FA2">
      <w:pPr>
        <w:spacing w:after="0" w:line="240" w:lineRule="auto"/>
      </w:pPr>
      <w:r>
        <w:continuationSeparator/>
      </w:r>
    </w:p>
  </w:endnote>
  <w:endnote w:type="continuationNotice" w:id="1">
    <w:p w14:paraId="0BC4C0CB" w14:textId="77777777" w:rsidR="00704AC4" w:rsidRDefault="00704AC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ork Sans">
    <w:charset w:val="00"/>
    <w:family w:val="auto"/>
    <w:pitch w:val="variable"/>
    <w:sig w:usb0="A00000FF" w:usb1="5000E07B"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A248B2" w14:textId="77777777" w:rsidR="00704AC4" w:rsidRDefault="00704AC4" w:rsidP="00ED0FA2">
      <w:pPr>
        <w:spacing w:after="0" w:line="240" w:lineRule="auto"/>
      </w:pPr>
      <w:r>
        <w:separator/>
      </w:r>
    </w:p>
  </w:footnote>
  <w:footnote w:type="continuationSeparator" w:id="0">
    <w:p w14:paraId="2F71DBE8" w14:textId="77777777" w:rsidR="00704AC4" w:rsidRDefault="00704AC4" w:rsidP="00ED0FA2">
      <w:pPr>
        <w:spacing w:after="0" w:line="240" w:lineRule="auto"/>
      </w:pPr>
      <w:r>
        <w:continuationSeparator/>
      </w:r>
    </w:p>
  </w:footnote>
  <w:footnote w:type="continuationNotice" w:id="1">
    <w:p w14:paraId="3EBDE8C4" w14:textId="77777777" w:rsidR="00704AC4" w:rsidRDefault="00704AC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3F206D" w14:textId="5DF5F908" w:rsidR="00236EAA" w:rsidRDefault="00793256">
    <w:pPr>
      <w:pStyle w:val="Header"/>
    </w:pPr>
    <w:r>
      <w:rPr>
        <w:noProof/>
      </w:rPr>
      <w:drawing>
        <wp:anchor distT="0" distB="0" distL="114300" distR="114300" simplePos="0" relativeHeight="251658240" behindDoc="0" locked="0" layoutInCell="1" allowOverlap="1" wp14:anchorId="2790CCEE" wp14:editId="79128253">
          <wp:simplePos x="0" y="0"/>
          <wp:positionH relativeFrom="column">
            <wp:posOffset>0</wp:posOffset>
          </wp:positionH>
          <wp:positionV relativeFrom="paragraph">
            <wp:posOffset>0</wp:posOffset>
          </wp:positionV>
          <wp:extent cx="2232025" cy="250190"/>
          <wp:effectExtent l="0" t="0" r="0" b="0"/>
          <wp:wrapNone/>
          <wp:docPr id="1862421102" name="Graphic 1862421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232025" cy="250190"/>
                  </a:xfrm>
                  <a:prstGeom prst="rect">
                    <a:avLst/>
                  </a:prstGeom>
                </pic:spPr>
              </pic:pic>
            </a:graphicData>
          </a:graphic>
          <wp14:sizeRelH relativeFrom="page">
            <wp14:pctWidth>0</wp14:pctWidth>
          </wp14:sizeRelH>
          <wp14:sizeRelV relativeFrom="page">
            <wp14:pctHeight>0</wp14:pctHeight>
          </wp14:sizeRelV>
        </wp:anchor>
      </w:drawing>
    </w:r>
  </w:p>
  <w:p w14:paraId="11BF6DE0" w14:textId="77E6E291" w:rsidR="00793256" w:rsidRDefault="00793256">
    <w:pPr>
      <w:pStyle w:val="Header"/>
    </w:pPr>
    <w:r w:rsidRPr="003D4E77">
      <w:rPr>
        <w:noProof/>
        <w:color w:val="404040" w:themeColor="text1" w:themeTint="BF"/>
        <w:sz w:val="18"/>
        <w:szCs w:val="18"/>
      </w:rPr>
      <mc:AlternateContent>
        <mc:Choice Requires="wps">
          <w:drawing>
            <wp:anchor distT="0" distB="0" distL="114300" distR="114300" simplePos="0" relativeHeight="251658241" behindDoc="0" locked="0" layoutInCell="1" allowOverlap="1" wp14:anchorId="6F8EDDB8" wp14:editId="3413BB7B">
              <wp:simplePos x="0" y="0"/>
              <wp:positionH relativeFrom="margin">
                <wp:posOffset>0</wp:posOffset>
              </wp:positionH>
              <wp:positionV relativeFrom="paragraph">
                <wp:posOffset>229870</wp:posOffset>
              </wp:positionV>
              <wp:extent cx="6834505" cy="0"/>
              <wp:effectExtent l="0" t="0" r="0" b="0"/>
              <wp:wrapNone/>
              <wp:docPr id="1533450778" name="Straight Connector 1"/>
              <wp:cNvGraphicFramePr/>
              <a:graphic xmlns:a="http://schemas.openxmlformats.org/drawingml/2006/main">
                <a:graphicData uri="http://schemas.microsoft.com/office/word/2010/wordprocessingShape">
                  <wps:wsp>
                    <wps:cNvCnPr/>
                    <wps:spPr>
                      <a:xfrm>
                        <a:off x="0" y="0"/>
                        <a:ext cx="683450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95E475" id="Straight Connector 1" o:spid="_x0000_s1026" style="position:absolute;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8.1pt" to="538.1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" strokecolor="#04627a [3204]" strokeweight=".5pt">
              <v:stroke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CDA0321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4D1CC0"/>
    <w:multiLevelType w:val="hybridMultilevel"/>
    <w:tmpl w:val="666EF94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52A6426"/>
    <w:multiLevelType w:val="hybridMultilevel"/>
    <w:tmpl w:val="02863788"/>
    <w:lvl w:ilvl="0" w:tplc="C0AAC42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CBE0C05"/>
    <w:multiLevelType w:val="hybridMultilevel"/>
    <w:tmpl w:val="C15A15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971D09"/>
    <w:multiLevelType w:val="hybridMultilevel"/>
    <w:tmpl w:val="0DE8E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F8419F"/>
    <w:multiLevelType w:val="hybridMultilevel"/>
    <w:tmpl w:val="33C2F0A4"/>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56486350"/>
    <w:multiLevelType w:val="hybridMultilevel"/>
    <w:tmpl w:val="6C8E1C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B94607"/>
    <w:multiLevelType w:val="hybridMultilevel"/>
    <w:tmpl w:val="1B1AF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2E1013"/>
    <w:multiLevelType w:val="hybridMultilevel"/>
    <w:tmpl w:val="A57624C0"/>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016568147">
    <w:abstractNumId w:val="4"/>
  </w:num>
  <w:num w:numId="2" w16cid:durableId="529688289">
    <w:abstractNumId w:val="5"/>
  </w:num>
  <w:num w:numId="3" w16cid:durableId="655499794">
    <w:abstractNumId w:val="1"/>
  </w:num>
  <w:num w:numId="4" w16cid:durableId="1634825399">
    <w:abstractNumId w:val="8"/>
  </w:num>
  <w:num w:numId="5" w16cid:durableId="148131918">
    <w:abstractNumId w:val="0"/>
  </w:num>
  <w:num w:numId="6" w16cid:durableId="567112557">
    <w:abstractNumId w:val="0"/>
  </w:num>
  <w:num w:numId="7" w16cid:durableId="1506552362">
    <w:abstractNumId w:val="7"/>
  </w:num>
  <w:num w:numId="8" w16cid:durableId="1871530587">
    <w:abstractNumId w:val="3"/>
  </w:num>
  <w:num w:numId="9" w16cid:durableId="931664985">
    <w:abstractNumId w:val="6"/>
  </w:num>
  <w:num w:numId="10" w16cid:durableId="13782356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FA2"/>
    <w:rsid w:val="00030A67"/>
    <w:rsid w:val="00051975"/>
    <w:rsid w:val="00121264"/>
    <w:rsid w:val="00146692"/>
    <w:rsid w:val="00173989"/>
    <w:rsid w:val="001A3172"/>
    <w:rsid w:val="001C08BB"/>
    <w:rsid w:val="001F172C"/>
    <w:rsid w:val="001F66B9"/>
    <w:rsid w:val="00236EAA"/>
    <w:rsid w:val="002E2021"/>
    <w:rsid w:val="00342B93"/>
    <w:rsid w:val="003613FF"/>
    <w:rsid w:val="003B4F01"/>
    <w:rsid w:val="003D4E77"/>
    <w:rsid w:val="003F4972"/>
    <w:rsid w:val="004C7E08"/>
    <w:rsid w:val="005126D3"/>
    <w:rsid w:val="00521A34"/>
    <w:rsid w:val="005E2072"/>
    <w:rsid w:val="005F3260"/>
    <w:rsid w:val="006A00C4"/>
    <w:rsid w:val="00704AC4"/>
    <w:rsid w:val="0071057A"/>
    <w:rsid w:val="00714B6E"/>
    <w:rsid w:val="00733588"/>
    <w:rsid w:val="007555CF"/>
    <w:rsid w:val="00772D30"/>
    <w:rsid w:val="00787B92"/>
    <w:rsid w:val="00793256"/>
    <w:rsid w:val="00795AD1"/>
    <w:rsid w:val="00832BED"/>
    <w:rsid w:val="008448E8"/>
    <w:rsid w:val="00857FCA"/>
    <w:rsid w:val="008B00EA"/>
    <w:rsid w:val="008B517D"/>
    <w:rsid w:val="008C4366"/>
    <w:rsid w:val="008D6F19"/>
    <w:rsid w:val="008F3462"/>
    <w:rsid w:val="009022EC"/>
    <w:rsid w:val="00903F88"/>
    <w:rsid w:val="00911CDD"/>
    <w:rsid w:val="00914BD3"/>
    <w:rsid w:val="00931436"/>
    <w:rsid w:val="00967CE9"/>
    <w:rsid w:val="009800A3"/>
    <w:rsid w:val="009A4BBE"/>
    <w:rsid w:val="009B5B7D"/>
    <w:rsid w:val="009E5558"/>
    <w:rsid w:val="00A57921"/>
    <w:rsid w:val="00A63588"/>
    <w:rsid w:val="00A828ED"/>
    <w:rsid w:val="00AB16BD"/>
    <w:rsid w:val="00B04092"/>
    <w:rsid w:val="00B12F6B"/>
    <w:rsid w:val="00B33E59"/>
    <w:rsid w:val="00B57D3E"/>
    <w:rsid w:val="00B64635"/>
    <w:rsid w:val="00B928E1"/>
    <w:rsid w:val="00BC0C7B"/>
    <w:rsid w:val="00BE1D3A"/>
    <w:rsid w:val="00C67D0F"/>
    <w:rsid w:val="00C76846"/>
    <w:rsid w:val="00CD2912"/>
    <w:rsid w:val="00D25AB6"/>
    <w:rsid w:val="00D36BC3"/>
    <w:rsid w:val="00D40CCB"/>
    <w:rsid w:val="00D817D2"/>
    <w:rsid w:val="00DA1414"/>
    <w:rsid w:val="00E16C46"/>
    <w:rsid w:val="00ED0FA2"/>
    <w:rsid w:val="00EE147A"/>
    <w:rsid w:val="00EF17B7"/>
    <w:rsid w:val="00F348AC"/>
    <w:rsid w:val="00F40C01"/>
    <w:rsid w:val="00FA5524"/>
    <w:rsid w:val="00FD1645"/>
    <w:rsid w:val="00FF1CD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DBB208"/>
  <w15:chartTrackingRefBased/>
  <w15:docId w15:val="{53880AB0-EDBE-423D-9447-DC062467E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3F88"/>
    <w:pPr>
      <w:spacing w:after="120" w:line="264" w:lineRule="auto"/>
    </w:pPr>
  </w:style>
  <w:style w:type="paragraph" w:styleId="Heading1">
    <w:name w:val="heading 1"/>
    <w:basedOn w:val="Normal"/>
    <w:next w:val="Normal"/>
    <w:link w:val="Heading1Char"/>
    <w:uiPriority w:val="9"/>
    <w:qFormat/>
    <w:rsid w:val="00787B92"/>
    <w:pPr>
      <w:keepNext/>
      <w:keepLines/>
      <w:spacing w:before="240" w:after="0"/>
      <w:outlineLvl w:val="0"/>
    </w:pPr>
    <w:rPr>
      <w:rFonts w:asciiTheme="majorHAnsi" w:eastAsiaTheme="majorEastAsia" w:hAnsiTheme="majorHAnsi" w:cstheme="majorBidi"/>
      <w:color w:val="04627A" w:themeColor="accent1"/>
      <w:sz w:val="44"/>
      <w:szCs w:val="32"/>
    </w:rPr>
  </w:style>
  <w:style w:type="paragraph" w:styleId="Heading2">
    <w:name w:val="heading 2"/>
    <w:basedOn w:val="Normal"/>
    <w:next w:val="Normal"/>
    <w:link w:val="Heading2Char"/>
    <w:uiPriority w:val="9"/>
    <w:unhideWhenUsed/>
    <w:qFormat/>
    <w:rsid w:val="00787B92"/>
    <w:pPr>
      <w:keepNext/>
      <w:keepLines/>
      <w:spacing w:before="40" w:after="0"/>
      <w:outlineLvl w:val="1"/>
    </w:pPr>
    <w:rPr>
      <w:rFonts w:ascii="Work Sans" w:eastAsiaTheme="majorEastAsia" w:hAnsi="Work Sans" w:cstheme="majorBidi"/>
      <w:b/>
      <w:caps/>
      <w:color w:val="02303C" w:themeColor="accent1" w:themeShade="80"/>
      <w:sz w:val="26"/>
      <w:szCs w:val="26"/>
    </w:rPr>
  </w:style>
  <w:style w:type="paragraph" w:styleId="Heading3">
    <w:name w:val="heading 3"/>
    <w:basedOn w:val="Normal"/>
    <w:next w:val="Normal"/>
    <w:link w:val="Heading3Char"/>
    <w:uiPriority w:val="9"/>
    <w:unhideWhenUsed/>
    <w:qFormat/>
    <w:rsid w:val="00787B92"/>
    <w:pPr>
      <w:keepNext/>
      <w:keepLines/>
      <w:spacing w:before="40" w:after="0"/>
      <w:outlineLvl w:val="2"/>
    </w:pPr>
    <w:rPr>
      <w:rFonts w:asciiTheme="majorHAnsi" w:eastAsiaTheme="majorEastAsia" w:hAnsiTheme="majorHAnsi" w:cstheme="majorBidi"/>
      <w:b/>
      <w:color w:val="38393B" w:themeColor="text2" w:themeShade="B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HSStyle">
    <w:name w:val="HHS Style"/>
    <w:basedOn w:val="Normal"/>
    <w:next w:val="Normal"/>
    <w:link w:val="HHSStyleChar"/>
    <w:qFormat/>
    <w:rsid w:val="00733588"/>
    <w:pPr>
      <w:spacing w:after="0" w:line="276" w:lineRule="auto"/>
    </w:pPr>
    <w:rPr>
      <w:rFonts w:ascii="Arial" w:hAnsi="Arial"/>
      <w:szCs w:val="56"/>
    </w:rPr>
  </w:style>
  <w:style w:type="character" w:customStyle="1" w:styleId="HHSStyleChar">
    <w:name w:val="HHS Style Char"/>
    <w:basedOn w:val="DefaultParagraphFont"/>
    <w:link w:val="HHSStyle"/>
    <w:rsid w:val="00733588"/>
    <w:rPr>
      <w:rFonts w:ascii="Arial" w:hAnsi="Arial"/>
      <w:szCs w:val="56"/>
    </w:rPr>
  </w:style>
  <w:style w:type="paragraph" w:styleId="Header">
    <w:name w:val="header"/>
    <w:basedOn w:val="Normal"/>
    <w:link w:val="HeaderChar"/>
    <w:uiPriority w:val="99"/>
    <w:unhideWhenUsed/>
    <w:rsid w:val="00ED0F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0FA2"/>
  </w:style>
  <w:style w:type="paragraph" w:styleId="Footer">
    <w:name w:val="footer"/>
    <w:basedOn w:val="Normal"/>
    <w:link w:val="FooterChar"/>
    <w:uiPriority w:val="99"/>
    <w:unhideWhenUsed/>
    <w:rsid w:val="00ED0F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0FA2"/>
  </w:style>
  <w:style w:type="table" w:styleId="TableGrid">
    <w:name w:val="Table Grid"/>
    <w:basedOn w:val="TableNormal"/>
    <w:uiPriority w:val="39"/>
    <w:rsid w:val="00ED0F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87B92"/>
    <w:rPr>
      <w:rFonts w:asciiTheme="majorHAnsi" w:eastAsiaTheme="majorEastAsia" w:hAnsiTheme="majorHAnsi" w:cstheme="majorBidi"/>
      <w:color w:val="04627A" w:themeColor="accent1"/>
      <w:sz w:val="44"/>
      <w:szCs w:val="32"/>
    </w:rPr>
  </w:style>
  <w:style w:type="character" w:customStyle="1" w:styleId="Heading2Char">
    <w:name w:val="Heading 2 Char"/>
    <w:basedOn w:val="DefaultParagraphFont"/>
    <w:link w:val="Heading2"/>
    <w:uiPriority w:val="9"/>
    <w:rsid w:val="00787B92"/>
    <w:rPr>
      <w:rFonts w:ascii="Work Sans" w:eastAsiaTheme="majorEastAsia" w:hAnsi="Work Sans" w:cstheme="majorBidi"/>
      <w:b/>
      <w:caps/>
      <w:color w:val="02303C" w:themeColor="accent1" w:themeShade="80"/>
      <w:sz w:val="26"/>
      <w:szCs w:val="26"/>
    </w:rPr>
  </w:style>
  <w:style w:type="character" w:customStyle="1" w:styleId="Heading3Char">
    <w:name w:val="Heading 3 Char"/>
    <w:basedOn w:val="DefaultParagraphFont"/>
    <w:link w:val="Heading3"/>
    <w:uiPriority w:val="9"/>
    <w:rsid w:val="00787B92"/>
    <w:rPr>
      <w:rFonts w:asciiTheme="majorHAnsi" w:eastAsiaTheme="majorEastAsia" w:hAnsiTheme="majorHAnsi" w:cstheme="majorBidi"/>
      <w:b/>
      <w:color w:val="38393B" w:themeColor="text2" w:themeShade="BF"/>
      <w:sz w:val="24"/>
      <w:szCs w:val="24"/>
    </w:rPr>
  </w:style>
  <w:style w:type="paragraph" w:styleId="ListParagraph">
    <w:name w:val="List Paragraph"/>
    <w:basedOn w:val="Normal"/>
    <w:uiPriority w:val="34"/>
    <w:qFormat/>
    <w:rsid w:val="00787B92"/>
    <w:pPr>
      <w:ind w:left="720"/>
      <w:contextualSpacing/>
    </w:pPr>
  </w:style>
  <w:style w:type="table" w:styleId="GridTable1Light-Accent4">
    <w:name w:val="Grid Table 1 Light Accent 4"/>
    <w:basedOn w:val="TableNormal"/>
    <w:uiPriority w:val="46"/>
    <w:rsid w:val="00787B92"/>
    <w:pPr>
      <w:spacing w:after="0" w:line="240" w:lineRule="auto"/>
    </w:pPr>
    <w:tblPr>
      <w:tblStyleRowBandSize w:val="1"/>
      <w:tblStyleColBandSize w:val="1"/>
      <w:tblBorders>
        <w:top w:val="single" w:sz="4" w:space="0" w:color="81B8DE" w:themeColor="accent4" w:themeTint="66"/>
        <w:left w:val="single" w:sz="4" w:space="0" w:color="81B8DE" w:themeColor="accent4" w:themeTint="66"/>
        <w:bottom w:val="single" w:sz="4" w:space="0" w:color="81B8DE" w:themeColor="accent4" w:themeTint="66"/>
        <w:right w:val="single" w:sz="4" w:space="0" w:color="81B8DE" w:themeColor="accent4" w:themeTint="66"/>
        <w:insideH w:val="single" w:sz="4" w:space="0" w:color="81B8DE" w:themeColor="accent4" w:themeTint="66"/>
        <w:insideV w:val="single" w:sz="4" w:space="0" w:color="81B8DE" w:themeColor="accent4" w:themeTint="66"/>
      </w:tblBorders>
    </w:tblPr>
    <w:tblStylePr w:type="firstRow">
      <w:rPr>
        <w:b/>
        <w:bCs/>
      </w:rPr>
      <w:tblPr/>
      <w:tcPr>
        <w:tcBorders>
          <w:bottom w:val="single" w:sz="12" w:space="0" w:color="4395CD" w:themeColor="accent4" w:themeTint="99"/>
        </w:tcBorders>
      </w:tcPr>
    </w:tblStylePr>
    <w:tblStylePr w:type="lastRow">
      <w:rPr>
        <w:b/>
        <w:bCs/>
      </w:rPr>
      <w:tblPr/>
      <w:tcPr>
        <w:tcBorders>
          <w:top w:val="double" w:sz="2" w:space="0" w:color="4395CD" w:themeColor="accent4" w:themeTint="99"/>
        </w:tcBorders>
      </w:tcPr>
    </w:tblStylePr>
    <w:tblStylePr w:type="firstCol">
      <w:rPr>
        <w:b/>
        <w:bCs/>
      </w:rPr>
    </w:tblStylePr>
    <w:tblStylePr w:type="lastCol">
      <w:rPr>
        <w:b/>
        <w:bCs/>
      </w:rPr>
    </w:tblStylePr>
  </w:style>
  <w:style w:type="table" w:styleId="GridTable6Colorful-Accent4">
    <w:name w:val="Grid Table 6 Colorful Accent 4"/>
    <w:basedOn w:val="TableNormal"/>
    <w:uiPriority w:val="51"/>
    <w:rsid w:val="00787B92"/>
    <w:pPr>
      <w:spacing w:after="0" w:line="240" w:lineRule="auto"/>
    </w:pPr>
    <w:rPr>
      <w:color w:val="122F44" w:themeColor="accent4" w:themeShade="BF"/>
    </w:rPr>
    <w:tblPr>
      <w:tblStyleRowBandSize w:val="1"/>
      <w:tblStyleColBandSize w:val="1"/>
      <w:tblBorders>
        <w:top w:val="single" w:sz="4" w:space="0" w:color="4395CD" w:themeColor="accent4" w:themeTint="99"/>
        <w:left w:val="single" w:sz="4" w:space="0" w:color="4395CD" w:themeColor="accent4" w:themeTint="99"/>
        <w:bottom w:val="single" w:sz="4" w:space="0" w:color="4395CD" w:themeColor="accent4" w:themeTint="99"/>
        <w:right w:val="single" w:sz="4" w:space="0" w:color="4395CD" w:themeColor="accent4" w:themeTint="99"/>
        <w:insideH w:val="single" w:sz="4" w:space="0" w:color="4395CD" w:themeColor="accent4" w:themeTint="99"/>
        <w:insideV w:val="single" w:sz="4" w:space="0" w:color="4395CD" w:themeColor="accent4" w:themeTint="99"/>
      </w:tblBorders>
    </w:tblPr>
    <w:tblStylePr w:type="firstRow">
      <w:rPr>
        <w:b/>
        <w:bCs/>
      </w:rPr>
      <w:tblPr/>
      <w:tcPr>
        <w:tcBorders>
          <w:bottom w:val="single" w:sz="12" w:space="0" w:color="4395CD" w:themeColor="accent4" w:themeTint="99"/>
        </w:tcBorders>
      </w:tcPr>
    </w:tblStylePr>
    <w:tblStylePr w:type="lastRow">
      <w:rPr>
        <w:b/>
        <w:bCs/>
      </w:rPr>
      <w:tblPr/>
      <w:tcPr>
        <w:tcBorders>
          <w:top w:val="double" w:sz="4" w:space="0" w:color="4395CD" w:themeColor="accent4" w:themeTint="99"/>
        </w:tcBorders>
      </w:tcPr>
    </w:tblStylePr>
    <w:tblStylePr w:type="firstCol">
      <w:rPr>
        <w:b/>
        <w:bCs/>
      </w:rPr>
    </w:tblStylePr>
    <w:tblStylePr w:type="lastCol">
      <w:rPr>
        <w:b/>
        <w:bCs/>
      </w:rPr>
    </w:tblStylePr>
    <w:tblStylePr w:type="band1Vert">
      <w:tblPr/>
      <w:tcPr>
        <w:shd w:val="clear" w:color="auto" w:fill="C0DBEE" w:themeFill="accent4" w:themeFillTint="33"/>
      </w:tcPr>
    </w:tblStylePr>
    <w:tblStylePr w:type="band1Horz">
      <w:tblPr/>
      <w:tcPr>
        <w:shd w:val="clear" w:color="auto" w:fill="C0DBEE" w:themeFill="accent4" w:themeFillTint="33"/>
      </w:tcPr>
    </w:tblStylePr>
  </w:style>
  <w:style w:type="paragraph" w:styleId="ListBullet">
    <w:name w:val="List Bullet"/>
    <w:basedOn w:val="Normal"/>
    <w:uiPriority w:val="99"/>
    <w:unhideWhenUsed/>
    <w:rsid w:val="00DA1414"/>
    <w:pPr>
      <w:numPr>
        <w:numId w:val="5"/>
      </w:numPr>
      <w:contextualSpacing/>
    </w:pPr>
  </w:style>
  <w:style w:type="character" w:styleId="Hyperlink">
    <w:name w:val="Hyperlink"/>
    <w:basedOn w:val="DefaultParagraphFont"/>
    <w:uiPriority w:val="99"/>
    <w:unhideWhenUsed/>
    <w:rsid w:val="00BC0C7B"/>
    <w:rPr>
      <w:color w:val="0070C0" w:themeColor="hyperlink"/>
      <w:u w:val="single"/>
    </w:rPr>
  </w:style>
  <w:style w:type="character" w:styleId="UnresolvedMention">
    <w:name w:val="Unresolved Mention"/>
    <w:basedOn w:val="DefaultParagraphFont"/>
    <w:uiPriority w:val="99"/>
    <w:semiHidden/>
    <w:unhideWhenUsed/>
    <w:rsid w:val="00BC0C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7212643">
      <w:bodyDiv w:val="1"/>
      <w:marLeft w:val="0"/>
      <w:marRight w:val="0"/>
      <w:marTop w:val="0"/>
      <w:marBottom w:val="0"/>
      <w:divBdr>
        <w:top w:val="none" w:sz="0" w:space="0" w:color="auto"/>
        <w:left w:val="none" w:sz="0" w:space="0" w:color="auto"/>
        <w:bottom w:val="none" w:sz="0" w:space="0" w:color="auto"/>
        <w:right w:val="none" w:sz="0" w:space="0" w:color="auto"/>
      </w:divBdr>
    </w:div>
    <w:div w:id="172243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ex.walker@hhs.iowa.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hs.iowa.gov/public-notice/2025-01-28/public-notice-public-comment-period-renewal-1915-c-home-and-community-based-services-hcbs-aidshi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Gov Office 2024 theme">
  <a:themeElements>
    <a:clrScheme name="Gov Office Swatches">
      <a:dk1>
        <a:sysClr val="windowText" lastClr="000000"/>
      </a:dk1>
      <a:lt1>
        <a:sysClr val="window" lastClr="FFFFFF"/>
      </a:lt1>
      <a:dk2>
        <a:srgbClr val="4B4D4F"/>
      </a:dk2>
      <a:lt2>
        <a:srgbClr val="E7E6E6"/>
      </a:lt2>
      <a:accent1>
        <a:srgbClr val="04627A"/>
      </a:accent1>
      <a:accent2>
        <a:srgbClr val="C6D668"/>
      </a:accent2>
      <a:accent3>
        <a:srgbClr val="E0A626"/>
      </a:accent3>
      <a:accent4>
        <a:srgbClr val="18405B"/>
      </a:accent4>
      <a:accent5>
        <a:srgbClr val="70C8B8"/>
      </a:accent5>
      <a:accent6>
        <a:srgbClr val="2C6358"/>
      </a:accent6>
      <a:hlink>
        <a:srgbClr val="0070C0"/>
      </a:hlink>
      <a:folHlink>
        <a:srgbClr val="694C60"/>
      </a:folHlink>
    </a:clrScheme>
    <a:fontScheme name="Gov Office HHS Work Sans">
      <a:majorFont>
        <a:latin typeface="Work Sans"/>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Gov Office 2024 theme" id="{6298349E-A72C-4519-A5B0-B690EDAB395A}" vid="{8599F3F0-E36C-43A3-A13A-EDC9317CF2B3}"/>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Image_x0020_Description xmlns="f88e24f3-da62-4d13-8742-1b7075cad43b" xsi:nil="true"/>
    <lcf76f155ced4ddcb4097134ff3c332f xmlns="f88e24f3-da62-4d13-8742-1b7075cad43b">
      <Terms xmlns="http://schemas.microsoft.com/office/infopath/2007/PartnerControls"/>
    </lcf76f155ced4ddcb4097134ff3c332f>
    <Topic xmlns="f88e24f3-da62-4d13-8742-1b7075cad43b">Word templates</Topic>
    <Category_x0020_1 xmlns="f88e24f3-da62-4d13-8742-1b7075cad43b">Templates</Category_x0020_1>
    <TaxCatchAll xmlns="07f02910-0123-428f-bbba-f09bb309b04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CE3B404801B3747A26CBE4DA53E86AF" ma:contentTypeVersion="21" ma:contentTypeDescription="Create a new document." ma:contentTypeScope="" ma:versionID="94c054a766317475bedcda87572b6a75">
  <xsd:schema xmlns:xsd="http://www.w3.org/2001/XMLSchema" xmlns:xs="http://www.w3.org/2001/XMLSchema" xmlns:p="http://schemas.microsoft.com/office/2006/metadata/properties" xmlns:ns2="f88e24f3-da62-4d13-8742-1b7075cad43b" xmlns:ns3="07f02910-0123-428f-bbba-f09bb309b044" targetNamespace="http://schemas.microsoft.com/office/2006/metadata/properties" ma:root="true" ma:fieldsID="85f820fe2787e7b55ca37e1a8a63812c" ns2:_="" ns3:_="">
    <xsd:import namespace="f88e24f3-da62-4d13-8742-1b7075cad43b"/>
    <xsd:import namespace="07f02910-0123-428f-bbba-f09bb309b04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Image_x0020_Description" minOccurs="0"/>
                <xsd:element ref="ns2:Category_x0020_1" minOccurs="0"/>
                <xsd:element ref="ns2:Topic"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8e24f3-da62-4d13-8742-1b7075cad4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c93164ec-f35b-416f-add9-a3560115a3f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Image_x0020_Description" ma:index="21" nillable="true" ma:displayName="Image Description" ma:internalName="Image_x0020_Description">
      <xsd:simpleType>
        <xsd:restriction base="dms:Text">
          <xsd:maxLength value="255"/>
        </xsd:restriction>
      </xsd:simpleType>
    </xsd:element>
    <xsd:element name="Category_x0020_1" ma:index="22" nillable="true" ma:displayName="Category" ma:format="Dropdown" ma:internalName="Category_x0020_1">
      <xsd:simpleType>
        <xsd:restriction base="dms:Choice">
          <xsd:enumeration value="Photos"/>
          <xsd:enumeration value="Logos"/>
          <xsd:enumeration value="Templates"/>
          <xsd:enumeration value="Icons"/>
        </xsd:restriction>
      </xsd:simpleType>
    </xsd:element>
    <xsd:element name="Topic" ma:index="23" nillable="true" ma:displayName="Topic" ma:internalName="Topic">
      <xsd:simpleType>
        <xsd:restriction base="dms:Text">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f02910-0123-428f-bbba-f09bb309b04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efd570c-62f7-4c05-8a11-590e529ea8b8}" ma:internalName="TaxCatchAll" ma:showField="CatchAllData" ma:web="07f02910-0123-428f-bbba-f09bb309b04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050790-BAB1-499C-A13B-4055AEA70B43}">
  <ds:schemaRefs>
    <ds:schemaRef ds:uri="http://schemas.openxmlformats.org/officeDocument/2006/bibliography"/>
  </ds:schemaRefs>
</ds:datastoreItem>
</file>

<file path=customXml/itemProps2.xml><?xml version="1.0" encoding="utf-8"?>
<ds:datastoreItem xmlns:ds="http://schemas.openxmlformats.org/officeDocument/2006/customXml" ds:itemID="{77FECC04-8AC7-4AF5-9F03-1F66311E8D3B}">
  <ds:schemaRefs>
    <ds:schemaRef ds:uri="http://schemas.microsoft.com/office/2006/metadata/properties"/>
    <ds:schemaRef ds:uri="http://schemas.microsoft.com/office/infopath/2007/PartnerControls"/>
    <ds:schemaRef ds:uri="f88e24f3-da62-4d13-8742-1b7075cad43b"/>
    <ds:schemaRef ds:uri="07f02910-0123-428f-bbba-f09bb309b044"/>
  </ds:schemaRefs>
</ds:datastoreItem>
</file>

<file path=customXml/itemProps3.xml><?xml version="1.0" encoding="utf-8"?>
<ds:datastoreItem xmlns:ds="http://schemas.openxmlformats.org/officeDocument/2006/customXml" ds:itemID="{45DA4412-F710-4FFC-9994-C87401D81F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8e24f3-da62-4d13-8742-1b7075cad43b"/>
    <ds:schemaRef ds:uri="07f02910-0123-428f-bbba-f09bb309b0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744E1E-D4CB-4260-8D03-66070A49EB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778</Words>
  <Characters>4437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HHS Basic Letterhead</vt:lpstr>
    </vt:vector>
  </TitlesOfParts>
  <Company/>
  <LinksUpToDate>false</LinksUpToDate>
  <CharactersWithSpaces>5205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HHS Basic Letterhead</dc:title>
  <dc:subject/>
  <dc:creator>Jordan, Laura</dc:creator>
  <cp:keywords/>
  <dc:description/>
  <cp:lastModifiedBy>Linder, William [HHS]</cp:lastModifiedBy>
  <cp:revision>4</cp:revision>
  <dcterms:created xsi:type="dcterms:W3CDTF">2025-03-18T20:11:00Z</dcterms:created>
  <dcterms:modified xsi:type="dcterms:W3CDTF">2025-03-18T20:24:00Z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0x0101005CE3B404801B3747A26CBE4DA53E86AF</vt:lpwstr>
  </property>
  <property fmtid="{D5CDD505-2E9C-101B-9397-08002B2CF9AE}" pid="3" name="MediaServiceImageTags">
    <vt:lpwstr/>
  </property>
</Properties>
</file>