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2087" w14:textId="77777777" w:rsidR="00F07B4E" w:rsidRDefault="00F07B4E" w:rsidP="00F07B4E">
      <w:r>
        <w:t>patient will be covered only if a different disease process is causing the pain or a significant change in life situation can be demonstrated.</w:t>
      </w:r>
    </w:p>
    <w:p w14:paraId="2246D734" w14:textId="28630250" w:rsidR="00F07B4E" w:rsidRDefault="0060191B" w:rsidP="00F07B4E">
      <w:pPr>
        <w:rPr>
          <w:sz w:val="25"/>
        </w:rPr>
      </w:pPr>
      <w:r>
        <w:rPr>
          <w:i/>
          <w:sz w:val="25"/>
        </w:rPr>
        <w:t xml:space="preserve">6. </w:t>
      </w:r>
      <w:r w:rsidR="00F07B4E">
        <w:rPr>
          <w:i/>
          <w:sz w:val="25"/>
        </w:rPr>
        <w:t xml:space="preserve">Diabetic education. </w:t>
      </w:r>
      <w:r w:rsidR="00F07B4E">
        <w:t>Iowa Medicaid will cover diabetic education services only once in a lifetime of the recipient. The "once/lifetime" limit applies to any given Medicaid member's participation in an outpatient diabetic education program, at a hospital that has received certification for providing this (outpatient) program. The purpose and intent of that education program is to educate members about diabetes, self-care, insulin use, dietary issues, etc. Any medically necessary medical care/services related to a given member's diabetes would be paid separately outside of the outpatient diabetic education</w:t>
      </w:r>
      <w:r w:rsidR="00F07B4E">
        <w:rPr>
          <w:spacing w:val="-9"/>
        </w:rPr>
        <w:t xml:space="preserve"> </w:t>
      </w:r>
      <w:r w:rsidR="00F07B4E">
        <w:t>program.</w:t>
      </w:r>
    </w:p>
    <w:p w14:paraId="12BA989F" w14:textId="5133C044" w:rsidR="00F07B4E" w:rsidRDefault="0060191B" w:rsidP="00F07B4E">
      <w:pPr>
        <w:rPr>
          <w:i/>
          <w:sz w:val="25"/>
        </w:rPr>
      </w:pPr>
      <w:r>
        <w:rPr>
          <w:i/>
          <w:sz w:val="25"/>
        </w:rPr>
        <w:t xml:space="preserve">7. </w:t>
      </w:r>
      <w:r w:rsidR="00F07B4E">
        <w:rPr>
          <w:i/>
          <w:sz w:val="25"/>
        </w:rPr>
        <w:t>Pulmonary</w:t>
      </w:r>
      <w:r w:rsidR="00F07B4E">
        <w:rPr>
          <w:i/>
          <w:spacing w:val="5"/>
          <w:sz w:val="25"/>
        </w:rPr>
        <w:t xml:space="preserve"> </w:t>
      </w:r>
      <w:r w:rsidR="00F07B4E">
        <w:rPr>
          <w:i/>
          <w:sz w:val="25"/>
        </w:rPr>
        <w:t>rehabilitation.</w:t>
      </w:r>
    </w:p>
    <w:p w14:paraId="1B7DBE1E" w14:textId="77777777" w:rsidR="00F07B4E" w:rsidRDefault="00F07B4E" w:rsidP="00F07B4E">
      <w:pPr>
        <w:rPr>
          <w:i/>
          <w:sz w:val="36"/>
        </w:rPr>
      </w:pPr>
    </w:p>
    <w:p w14:paraId="41F33AC6" w14:textId="77777777" w:rsidR="00F07B4E" w:rsidRDefault="00F07B4E" w:rsidP="00F07B4E">
      <w:r>
        <w:t xml:space="preserve">2b. </w:t>
      </w:r>
      <w:r>
        <w:rPr>
          <w:u w:val="thick"/>
        </w:rPr>
        <w:t>RURAL HEALTH CLINIC SERVICES</w:t>
      </w:r>
      <w:r>
        <w:t xml:space="preserve"> </w:t>
      </w:r>
      <w:r>
        <w:rPr>
          <w:u w:val="thick"/>
        </w:rPr>
        <w:t>AND OTHER AMBULATORY SERVICES</w:t>
      </w:r>
      <w:r>
        <w:t xml:space="preserve"> </w:t>
      </w:r>
      <w:r>
        <w:rPr>
          <w:u w:val="thick"/>
        </w:rPr>
        <w:t>FURNISHED BY A RURAL HEALTH CLINIC WHICH ARE OTHERWISE INCLUDED</w:t>
      </w:r>
      <w:r>
        <w:t xml:space="preserve"> </w:t>
      </w:r>
      <w:r>
        <w:rPr>
          <w:u w:val="thick"/>
        </w:rPr>
        <w:t>IN THE PLAN</w:t>
      </w:r>
    </w:p>
    <w:p w14:paraId="2B228869" w14:textId="77777777" w:rsidR="00F07B4E" w:rsidRDefault="00F07B4E" w:rsidP="00F07B4E">
      <w:r>
        <w:t>Other ambulatory services furnished by a rural health clinic which are otherwise included in</w:t>
      </w:r>
    </w:p>
    <w:p w14:paraId="66D7ECBF" w14:textId="77777777" w:rsidR="00F07B4E" w:rsidRDefault="00F07B4E" w:rsidP="00F07B4E">
      <w:r>
        <w:t>the State plan must meet the specific Iowa State plan requirements for furnishing those services and are subject to the same limitations regarding amount, duration, scope.</w:t>
      </w:r>
    </w:p>
    <w:p w14:paraId="04A25BF8" w14:textId="77777777" w:rsidR="00F07B4E" w:rsidRDefault="00F07B4E" w:rsidP="00F07B4E"/>
    <w:p w14:paraId="63AEE0E1" w14:textId="77777777" w:rsidR="00F07B4E" w:rsidRDefault="00F07B4E" w:rsidP="00F07B4E">
      <w:r>
        <w:t>2c.</w:t>
      </w:r>
      <w:r>
        <w:tab/>
      </w:r>
      <w:r>
        <w:rPr>
          <w:u w:val="thick"/>
        </w:rPr>
        <w:t>FEDERALLY QUALIFIED HEALTH CENTER</w:t>
      </w:r>
      <w:r>
        <w:rPr>
          <w:spacing w:val="-18"/>
          <w:u w:val="thick"/>
        </w:rPr>
        <w:t xml:space="preserve"> </w:t>
      </w:r>
      <w:r>
        <w:rPr>
          <w:u w:val="thick"/>
        </w:rPr>
        <w:t>SERVICES</w:t>
      </w:r>
    </w:p>
    <w:p w14:paraId="46F602E3" w14:textId="77777777" w:rsidR="00F07B4E" w:rsidRDefault="00F07B4E" w:rsidP="00F07B4E">
      <w:r>
        <w:t>Other ambulatory services furnished by a Federally qualified health center which are otherwise included in the State plan must meet the specific Iowa State plan requirements for furnishing those services and are subject to the same limitations regarding amount, ·duration, scope.</w:t>
      </w:r>
    </w:p>
    <w:p w14:paraId="66D98E90" w14:textId="77777777" w:rsidR="00F07B4E" w:rsidRDefault="00F07B4E" w:rsidP="00F07B4E"/>
    <w:p w14:paraId="433F0AD2" w14:textId="77777777" w:rsidR="00F07B4E" w:rsidRPr="00A153B9" w:rsidRDefault="00F07B4E" w:rsidP="00F07B4E">
      <w:r w:rsidRPr="00A153B9">
        <w:t>2d.</w:t>
      </w:r>
      <w:r w:rsidRPr="00A153B9">
        <w:tab/>
        <w:t xml:space="preserve"> </w:t>
      </w:r>
      <w:r w:rsidRPr="004C190A">
        <w:rPr>
          <w:u w:val="single"/>
        </w:rPr>
        <w:t>RURAL EMERGENCY HOSPITALS</w:t>
      </w:r>
    </w:p>
    <w:p w14:paraId="648EF254" w14:textId="77777777" w:rsidR="00F07B4E" w:rsidRPr="00A153B9" w:rsidRDefault="00F07B4E" w:rsidP="00F07B4E">
      <w:r w:rsidRPr="00A153B9">
        <w:t>Services provided by a rural emergency hospital do not exceed an annual per patient average of twenty-four hours. For purposes of providing emergency department services, an emergency department of a rural emergency hospital shall be considered staffed if a physician, advanced registered nurse practitioner, or physician assistant is available to furnish rural emergency hospital services in the facility twenty-four hours per day.</w:t>
      </w:r>
    </w:p>
    <w:p w14:paraId="5AF36AC3" w14:textId="77777777" w:rsidR="00F07B4E" w:rsidRPr="00A153B9" w:rsidRDefault="00F07B4E" w:rsidP="00F07B4E"/>
    <w:p w14:paraId="4753AA68" w14:textId="77777777" w:rsidR="00F07B4E" w:rsidRPr="00A153B9" w:rsidRDefault="00F07B4E" w:rsidP="00F07B4E">
      <w:bookmarkStart w:id="0" w:name="_Hlk137654322"/>
      <w:r w:rsidRPr="00A153B9">
        <w:t xml:space="preserve">To be eligible for a rural emergency hospital license, a facility shall have been, on or before December 27, 2020, one of the following: </w:t>
      </w:r>
    </w:p>
    <w:p w14:paraId="6FBD4360" w14:textId="77777777" w:rsidR="00F07B4E" w:rsidRPr="00A153B9" w:rsidRDefault="00F07B4E" w:rsidP="00F07B4E">
      <w:pPr>
        <w:ind w:left="720"/>
      </w:pPr>
      <w:r w:rsidRPr="00A153B9">
        <w:t xml:space="preserve">a. A licensed critical access hospital.  </w:t>
      </w:r>
    </w:p>
    <w:p w14:paraId="4ACEB3C8" w14:textId="77777777" w:rsidR="00F07B4E" w:rsidRPr="00A153B9" w:rsidRDefault="00F07B4E" w:rsidP="00F07B4E">
      <w:pPr>
        <w:ind w:left="720"/>
      </w:pPr>
      <w:r w:rsidRPr="00A153B9">
        <w:t xml:space="preserve">b. A general hospital with not more than fifty licensed beds located in a county in a rural area as defined in section 9 1886(d)(2)(D) of the federal Social Security Act. 10 </w:t>
      </w:r>
    </w:p>
    <w:p w14:paraId="76D3EDDF" w14:textId="77777777" w:rsidR="00F07B4E" w:rsidRPr="00A153B9" w:rsidRDefault="00F07B4E" w:rsidP="00F07B4E">
      <w:pPr>
        <w:ind w:left="720"/>
      </w:pPr>
      <w:r w:rsidRPr="00A153B9">
        <w:t xml:space="preserve">c. A general hospital with no more than fifty licensed beds that is deemed as </w:t>
      </w:r>
      <w:proofErr w:type="gramStart"/>
      <w:r w:rsidRPr="00A153B9">
        <w:t>being located in</w:t>
      </w:r>
      <w:proofErr w:type="gramEnd"/>
      <w:r w:rsidRPr="00A153B9">
        <w:t xml:space="preserve"> a rural area pursuant to 12 section 1886(d)(8)(E) of the federal Social Security Act.</w:t>
      </w:r>
    </w:p>
    <w:bookmarkEnd w:id="0"/>
    <w:p w14:paraId="3B598BA2" w14:textId="77777777" w:rsidR="00F07B4E" w:rsidRPr="00A153B9" w:rsidRDefault="00F07B4E" w:rsidP="00F07B4E">
      <w:pPr>
        <w:ind w:left="720"/>
      </w:pPr>
    </w:p>
    <w:p w14:paraId="754E96FF" w14:textId="77777777" w:rsidR="00F07B4E" w:rsidRPr="00A153B9" w:rsidRDefault="00F07B4E" w:rsidP="00F07B4E">
      <w:r w:rsidRPr="00A153B9">
        <w:t>All services furnished by a Rural Emergency Hospitals which are otherwise included in the State plan must meet the specific Iowa State plan requirements for furnishing those services and are subject to the same limitations regarding amount, duration, scope.</w:t>
      </w:r>
    </w:p>
    <w:p w14:paraId="6303A9F9" w14:textId="77777777" w:rsidR="00F07B4E" w:rsidRPr="00A153B9" w:rsidRDefault="00F07B4E" w:rsidP="00F07B4E"/>
    <w:p w14:paraId="1E9CA0AF" w14:textId="77777777" w:rsidR="00F07B4E" w:rsidRDefault="00F07B4E" w:rsidP="00F07B4E"/>
    <w:p w14:paraId="79CD0A46" w14:textId="7221F674" w:rsidR="00F07B4E" w:rsidRDefault="0060191B" w:rsidP="00F07B4E">
      <w:r>
        <w:t xml:space="preserve">3. </w:t>
      </w:r>
      <w:r w:rsidR="00F07B4E">
        <w:t>RESERVED</w:t>
      </w:r>
    </w:p>
    <w:p w14:paraId="2E48C08D" w14:textId="77777777" w:rsidR="0060191B" w:rsidRDefault="0060191B" w:rsidP="00F07B4E"/>
    <w:p w14:paraId="4C96DCDB" w14:textId="6B86051D" w:rsidR="0060191B" w:rsidRDefault="00F54F57" w:rsidP="00F07B4E">
      <w:pPr>
        <w:rPr>
          <w:u w:val="single"/>
        </w:rPr>
      </w:pPr>
      <w:r>
        <w:t xml:space="preserve">4a. </w:t>
      </w:r>
      <w:r w:rsidRPr="00F54F57">
        <w:rPr>
          <w:u w:val="single"/>
        </w:rPr>
        <w:t>NURSING FACILITY SERVICES</w:t>
      </w:r>
    </w:p>
    <w:p w14:paraId="1826FAD0" w14:textId="64C8DCEE" w:rsidR="00F54F57" w:rsidRDefault="00F54F57" w:rsidP="00F07B4E">
      <w:r>
        <w:t xml:space="preserve">Nursing Facility services must be ordered by a physician who has either (1) identified to recipient </w:t>
      </w:r>
      <w:r w:rsidR="006A335F">
        <w:t xml:space="preserve">or representative alternatives to placement in a nursing home and provided guidance </w:t>
      </w:r>
      <w:r w:rsidR="009E5791">
        <w:t xml:space="preserve">on how to access such alternatives, or (2) documented in the recipient’s clinical record why the physician </w:t>
      </w:r>
      <w:r w:rsidR="005C3515">
        <w:t xml:space="preserve">determined that the identification of alternatives was unnecessary or inappropriate. </w:t>
      </w:r>
    </w:p>
    <w:p w14:paraId="44703218" w14:textId="77777777" w:rsidR="005C3515" w:rsidRDefault="005C3515" w:rsidP="00F07B4E"/>
    <w:p w14:paraId="4119FF56" w14:textId="74752D96" w:rsidR="005C3515" w:rsidRDefault="005C3515" w:rsidP="00F07B4E">
      <w:pPr>
        <w:rPr>
          <w:u w:val="single"/>
        </w:rPr>
      </w:pPr>
      <w:r>
        <w:lastRenderedPageBreak/>
        <w:t xml:space="preserve">4b. </w:t>
      </w:r>
      <w:r w:rsidRPr="008042D3">
        <w:rPr>
          <w:u w:val="single"/>
        </w:rPr>
        <w:t>EARLY AND PERIODIC SCREENING</w:t>
      </w:r>
      <w:r w:rsidR="008463EC" w:rsidRPr="008042D3">
        <w:rPr>
          <w:u w:val="single"/>
        </w:rPr>
        <w:t>, DIAGNOSIS, AND TREATMENT SERVICES (EPSDT)</w:t>
      </w:r>
    </w:p>
    <w:p w14:paraId="68D8CEB5" w14:textId="0C71950F" w:rsidR="008042D3" w:rsidRPr="008042D3" w:rsidRDefault="008042D3" w:rsidP="00F07B4E">
      <w:r w:rsidRPr="008042D3">
        <w:t>Pursu</w:t>
      </w:r>
      <w:r>
        <w:t>ant to 42 CFR 441.56(a)(2)(iii)</w:t>
      </w:r>
      <w:r w:rsidR="001D35B3">
        <w:t xml:space="preserve"> Iowa Medicaid covers services provided under the EPSDT program to all eligible individuals</w:t>
      </w:r>
      <w:r w:rsidR="00450829">
        <w:t xml:space="preserve"> up to age 21 without cost.</w:t>
      </w:r>
    </w:p>
    <w:p w14:paraId="41185841" w14:textId="77777777" w:rsidR="00390F6A" w:rsidRDefault="00390F6A" w:rsidP="00F07B4E">
      <w:pPr>
        <w:pStyle w:val="NoSpacing"/>
      </w:pPr>
    </w:p>
    <w:sectPr w:rsidR="00390F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3B0D" w14:textId="77777777" w:rsidR="00F07B4E" w:rsidRDefault="00F07B4E" w:rsidP="00F07B4E">
      <w:r>
        <w:separator/>
      </w:r>
    </w:p>
  </w:endnote>
  <w:endnote w:type="continuationSeparator" w:id="0">
    <w:p w14:paraId="539824A3" w14:textId="77777777" w:rsidR="00F07B4E" w:rsidRDefault="00F07B4E" w:rsidP="00F0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876C" w14:textId="77777777" w:rsidR="00F07B4E" w:rsidRDefault="00F07B4E" w:rsidP="00F07B4E">
      <w:r>
        <w:separator/>
      </w:r>
    </w:p>
  </w:footnote>
  <w:footnote w:type="continuationSeparator" w:id="0">
    <w:p w14:paraId="3FD5697C" w14:textId="77777777" w:rsidR="00F07B4E" w:rsidRDefault="00F07B4E" w:rsidP="00F07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CFF6" w14:textId="77777777" w:rsidR="00F07B4E" w:rsidRDefault="00F07B4E" w:rsidP="00F07B4E">
    <w:pPr>
      <w:spacing w:before="23" w:line="225" w:lineRule="auto"/>
      <w:ind w:left="20" w:right="8" w:firstLine="138"/>
      <w:jc w:val="right"/>
      <w:rPr>
        <w:sz w:val="24"/>
      </w:rPr>
    </w:pPr>
    <w:r>
      <w:rPr>
        <w:w w:val="95"/>
        <w:sz w:val="24"/>
      </w:rPr>
      <w:t>Supplement 2</w:t>
    </w:r>
    <w:r>
      <w:rPr>
        <w:spacing w:val="-39"/>
        <w:w w:val="95"/>
        <w:sz w:val="24"/>
      </w:rPr>
      <w:t xml:space="preserve"> </w:t>
    </w:r>
    <w:r>
      <w:rPr>
        <w:w w:val="95"/>
        <w:sz w:val="24"/>
      </w:rPr>
      <w:t xml:space="preserve">to </w:t>
    </w:r>
    <w:r>
      <w:rPr>
        <w:w w:val="90"/>
        <w:sz w:val="24"/>
      </w:rPr>
      <w:t>Attachment</w:t>
    </w:r>
    <w:r>
      <w:rPr>
        <w:spacing w:val="35"/>
        <w:w w:val="90"/>
        <w:sz w:val="24"/>
      </w:rPr>
      <w:t xml:space="preserve"> </w:t>
    </w:r>
    <w:r>
      <w:rPr>
        <w:spacing w:val="6"/>
        <w:w w:val="90"/>
        <w:sz w:val="24"/>
      </w:rPr>
      <w:t>3.I-A</w:t>
    </w:r>
  </w:p>
  <w:p w14:paraId="715D8660" w14:textId="77777777" w:rsidR="00F07B4E" w:rsidRPr="00F07B4E" w:rsidRDefault="00F07B4E" w:rsidP="00F07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E75"/>
    <w:multiLevelType w:val="hybridMultilevel"/>
    <w:tmpl w:val="56DC8B04"/>
    <w:lvl w:ilvl="0" w:tplc="9DC07C5C">
      <w:start w:val="1"/>
      <w:numFmt w:val="decimal"/>
      <w:lvlText w:val="(%1)"/>
      <w:lvlJc w:val="left"/>
      <w:pPr>
        <w:ind w:left="2748" w:hanging="584"/>
      </w:pPr>
      <w:rPr>
        <w:rFonts w:hint="default"/>
        <w:w w:val="108"/>
      </w:rPr>
    </w:lvl>
    <w:lvl w:ilvl="1" w:tplc="4F68CE4E">
      <w:start w:val="1"/>
      <w:numFmt w:val="lowerLetter"/>
      <w:lvlText w:val="(%2)"/>
      <w:lvlJc w:val="left"/>
      <w:pPr>
        <w:ind w:left="3390" w:hanging="504"/>
      </w:pPr>
      <w:rPr>
        <w:rFonts w:ascii="Times New Roman" w:eastAsia="Times New Roman" w:hAnsi="Times New Roman" w:cs="Times New Roman" w:hint="default"/>
        <w:spacing w:val="-1"/>
        <w:w w:val="103"/>
        <w:sz w:val="24"/>
        <w:szCs w:val="24"/>
      </w:rPr>
    </w:lvl>
    <w:lvl w:ilvl="2" w:tplc="44D4C824">
      <w:numFmt w:val="bullet"/>
      <w:lvlText w:val="•"/>
      <w:lvlJc w:val="left"/>
      <w:pPr>
        <w:ind w:left="4313" w:hanging="504"/>
      </w:pPr>
      <w:rPr>
        <w:rFonts w:hint="default"/>
      </w:rPr>
    </w:lvl>
    <w:lvl w:ilvl="3" w:tplc="B62438D0">
      <w:numFmt w:val="bullet"/>
      <w:lvlText w:val="•"/>
      <w:lvlJc w:val="left"/>
      <w:pPr>
        <w:ind w:left="5246" w:hanging="504"/>
      </w:pPr>
      <w:rPr>
        <w:rFonts w:hint="default"/>
      </w:rPr>
    </w:lvl>
    <w:lvl w:ilvl="4" w:tplc="D42C2CB0">
      <w:numFmt w:val="bullet"/>
      <w:lvlText w:val="•"/>
      <w:lvlJc w:val="left"/>
      <w:pPr>
        <w:ind w:left="6180" w:hanging="504"/>
      </w:pPr>
      <w:rPr>
        <w:rFonts w:hint="default"/>
      </w:rPr>
    </w:lvl>
    <w:lvl w:ilvl="5" w:tplc="C3B6D016">
      <w:numFmt w:val="bullet"/>
      <w:lvlText w:val="•"/>
      <w:lvlJc w:val="left"/>
      <w:pPr>
        <w:ind w:left="7113" w:hanging="504"/>
      </w:pPr>
      <w:rPr>
        <w:rFonts w:hint="default"/>
      </w:rPr>
    </w:lvl>
    <w:lvl w:ilvl="6" w:tplc="62B2A08C">
      <w:numFmt w:val="bullet"/>
      <w:lvlText w:val="•"/>
      <w:lvlJc w:val="left"/>
      <w:pPr>
        <w:ind w:left="8046" w:hanging="504"/>
      </w:pPr>
      <w:rPr>
        <w:rFonts w:hint="default"/>
      </w:rPr>
    </w:lvl>
    <w:lvl w:ilvl="7" w:tplc="CAE067C0">
      <w:numFmt w:val="bullet"/>
      <w:lvlText w:val="•"/>
      <w:lvlJc w:val="left"/>
      <w:pPr>
        <w:ind w:left="8980" w:hanging="504"/>
      </w:pPr>
      <w:rPr>
        <w:rFonts w:hint="default"/>
      </w:rPr>
    </w:lvl>
    <w:lvl w:ilvl="8" w:tplc="9B0480CC">
      <w:numFmt w:val="bullet"/>
      <w:lvlText w:val="•"/>
      <w:lvlJc w:val="left"/>
      <w:pPr>
        <w:ind w:left="9913" w:hanging="504"/>
      </w:pPr>
      <w:rPr>
        <w:rFonts w:hint="default"/>
      </w:rPr>
    </w:lvl>
  </w:abstractNum>
  <w:abstractNum w:abstractNumId="1" w15:restartNumberingAfterBreak="0">
    <w:nsid w:val="296E0EC8"/>
    <w:multiLevelType w:val="hybridMultilevel"/>
    <w:tmpl w:val="88DAA96E"/>
    <w:lvl w:ilvl="0" w:tplc="8B7693AE">
      <w:start w:val="3"/>
      <w:numFmt w:val="decimal"/>
      <w:lvlText w:val="%1."/>
      <w:lvlJc w:val="left"/>
      <w:pPr>
        <w:ind w:left="1549" w:hanging="547"/>
      </w:pPr>
      <w:rPr>
        <w:rFonts w:ascii="Times New Roman" w:eastAsia="Times New Roman" w:hAnsi="Times New Roman" w:cs="Times New Roman" w:hint="default"/>
        <w:w w:val="101"/>
        <w:sz w:val="24"/>
        <w:szCs w:val="24"/>
      </w:rPr>
    </w:lvl>
    <w:lvl w:ilvl="1" w:tplc="280258D4">
      <w:start w:val="1"/>
      <w:numFmt w:val="decimal"/>
      <w:lvlText w:val="(%2)"/>
      <w:lvlJc w:val="left"/>
      <w:pPr>
        <w:ind w:left="3172" w:hanging="510"/>
      </w:pPr>
      <w:rPr>
        <w:rFonts w:hint="default"/>
        <w:w w:val="108"/>
      </w:rPr>
    </w:lvl>
    <w:lvl w:ilvl="2" w:tplc="53B23806">
      <w:numFmt w:val="bullet"/>
      <w:lvlText w:val="•"/>
      <w:lvlJc w:val="left"/>
      <w:pPr>
        <w:ind w:left="4135" w:hanging="510"/>
      </w:pPr>
      <w:rPr>
        <w:rFonts w:hint="default"/>
      </w:rPr>
    </w:lvl>
    <w:lvl w:ilvl="3" w:tplc="BCA0F848">
      <w:numFmt w:val="bullet"/>
      <w:lvlText w:val="•"/>
      <w:lvlJc w:val="left"/>
      <w:pPr>
        <w:ind w:left="5091" w:hanging="510"/>
      </w:pPr>
      <w:rPr>
        <w:rFonts w:hint="default"/>
      </w:rPr>
    </w:lvl>
    <w:lvl w:ilvl="4" w:tplc="637AB5F2">
      <w:numFmt w:val="bullet"/>
      <w:lvlText w:val="•"/>
      <w:lvlJc w:val="left"/>
      <w:pPr>
        <w:ind w:left="6046" w:hanging="510"/>
      </w:pPr>
      <w:rPr>
        <w:rFonts w:hint="default"/>
      </w:rPr>
    </w:lvl>
    <w:lvl w:ilvl="5" w:tplc="805EF702">
      <w:numFmt w:val="bullet"/>
      <w:lvlText w:val="•"/>
      <w:lvlJc w:val="left"/>
      <w:pPr>
        <w:ind w:left="7002" w:hanging="510"/>
      </w:pPr>
      <w:rPr>
        <w:rFonts w:hint="default"/>
      </w:rPr>
    </w:lvl>
    <w:lvl w:ilvl="6" w:tplc="93665E40">
      <w:numFmt w:val="bullet"/>
      <w:lvlText w:val="•"/>
      <w:lvlJc w:val="left"/>
      <w:pPr>
        <w:ind w:left="7957" w:hanging="510"/>
      </w:pPr>
      <w:rPr>
        <w:rFonts w:hint="default"/>
      </w:rPr>
    </w:lvl>
    <w:lvl w:ilvl="7" w:tplc="3CF628E2">
      <w:numFmt w:val="bullet"/>
      <w:lvlText w:val="•"/>
      <w:lvlJc w:val="left"/>
      <w:pPr>
        <w:ind w:left="8913" w:hanging="510"/>
      </w:pPr>
      <w:rPr>
        <w:rFonts w:hint="default"/>
      </w:rPr>
    </w:lvl>
    <w:lvl w:ilvl="8" w:tplc="B00891AE">
      <w:numFmt w:val="bullet"/>
      <w:lvlText w:val="•"/>
      <w:lvlJc w:val="left"/>
      <w:pPr>
        <w:ind w:left="9868" w:hanging="510"/>
      </w:pPr>
      <w:rPr>
        <w:rFonts w:hint="default"/>
      </w:rPr>
    </w:lvl>
  </w:abstractNum>
  <w:num w:numId="1" w16cid:durableId="1242523643">
    <w:abstractNumId w:val="1"/>
  </w:num>
  <w:num w:numId="2" w16cid:durableId="129305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4E"/>
    <w:rsid w:val="001D35B3"/>
    <w:rsid w:val="003127ED"/>
    <w:rsid w:val="00390F6A"/>
    <w:rsid w:val="00450829"/>
    <w:rsid w:val="004C190A"/>
    <w:rsid w:val="005C3515"/>
    <w:rsid w:val="0060191B"/>
    <w:rsid w:val="006A335F"/>
    <w:rsid w:val="00704BBD"/>
    <w:rsid w:val="008042D3"/>
    <w:rsid w:val="008463EC"/>
    <w:rsid w:val="008A724D"/>
    <w:rsid w:val="00940937"/>
    <w:rsid w:val="009E5791"/>
    <w:rsid w:val="00A153B9"/>
    <w:rsid w:val="00EE6B54"/>
    <w:rsid w:val="00F07B4E"/>
    <w:rsid w:val="00F5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758F"/>
  <w15:chartTrackingRefBased/>
  <w15:docId w15:val="{67C127F8-023B-4FF8-BCC7-2A240968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B4E"/>
    <w:pPr>
      <w:widowControl w:val="0"/>
      <w:autoSpaceDE w:val="0"/>
      <w:autoSpaceDN w:val="0"/>
      <w:spacing w:after="0" w:line="240" w:lineRule="auto"/>
    </w:pPr>
    <w:rPr>
      <w:rFonts w:ascii="Times New Roman" w:eastAsia="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B4E"/>
    <w:pPr>
      <w:tabs>
        <w:tab w:val="center" w:pos="4680"/>
        <w:tab w:val="right" w:pos="9360"/>
      </w:tabs>
    </w:pPr>
  </w:style>
  <w:style w:type="character" w:customStyle="1" w:styleId="HeaderChar">
    <w:name w:val="Header Char"/>
    <w:basedOn w:val="DefaultParagraphFont"/>
    <w:link w:val="Header"/>
    <w:uiPriority w:val="99"/>
    <w:rsid w:val="00F07B4E"/>
  </w:style>
  <w:style w:type="paragraph" w:styleId="Footer">
    <w:name w:val="footer"/>
    <w:basedOn w:val="Normal"/>
    <w:link w:val="FooterChar"/>
    <w:uiPriority w:val="99"/>
    <w:unhideWhenUsed/>
    <w:rsid w:val="00F07B4E"/>
    <w:pPr>
      <w:tabs>
        <w:tab w:val="center" w:pos="4680"/>
        <w:tab w:val="right" w:pos="9360"/>
      </w:tabs>
    </w:pPr>
  </w:style>
  <w:style w:type="character" w:customStyle="1" w:styleId="FooterChar">
    <w:name w:val="Footer Char"/>
    <w:basedOn w:val="DefaultParagraphFont"/>
    <w:link w:val="Footer"/>
    <w:uiPriority w:val="99"/>
    <w:rsid w:val="00F07B4E"/>
  </w:style>
  <w:style w:type="paragraph" w:styleId="ListParagraph">
    <w:name w:val="List Paragraph"/>
    <w:basedOn w:val="Normal"/>
    <w:uiPriority w:val="1"/>
    <w:qFormat/>
    <w:rsid w:val="00F07B4E"/>
    <w:pPr>
      <w:ind w:left="2605" w:hanging="365"/>
    </w:pPr>
  </w:style>
  <w:style w:type="paragraph" w:styleId="NoSpacing">
    <w:name w:val="No Spacing"/>
    <w:uiPriority w:val="1"/>
    <w:qFormat/>
    <w:rsid w:val="00F07B4E"/>
    <w:pPr>
      <w:widowControl w:val="0"/>
      <w:autoSpaceDE w:val="0"/>
      <w:autoSpaceDN w:val="0"/>
      <w:spacing w:after="0"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Hornaday, Tashina</dc:creator>
  <cp:keywords/>
  <dc:description/>
  <cp:lastModifiedBy>Hornaday, Tashina</cp:lastModifiedBy>
  <cp:revision>2</cp:revision>
  <dcterms:created xsi:type="dcterms:W3CDTF">2023-06-15T21:42:00Z</dcterms:created>
  <dcterms:modified xsi:type="dcterms:W3CDTF">2023-06-15T21:42:00Z</dcterms:modified>
</cp:coreProperties>
</file>